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jc w:val="center"/>
        <w:rPr>
          <w:rFonts w:ascii="方正小标宋简体" w:hAnsi="宋体" w:eastAsia="方正小标宋简体" w:cs="宋体"/>
          <w:color w:val="000000"/>
          <w:sz w:val="36"/>
          <w:szCs w:val="36"/>
          <w:shd w:val="clear" w:color="auto" w:fill="FFFFFF"/>
        </w:rPr>
      </w:pPr>
      <w:r>
        <w:rPr>
          <w:rFonts w:hint="eastAsia" w:ascii="方正小标宋简体" w:hAnsi="宋体" w:eastAsia="方正小标宋简体" w:cs="宋体"/>
          <w:color w:val="000000"/>
          <w:sz w:val="36"/>
          <w:szCs w:val="36"/>
          <w:shd w:val="clear" w:color="auto" w:fill="FFFFFF"/>
        </w:rPr>
        <w:t>上海市青少年校外活动营地--东方绿舟</w:t>
      </w:r>
    </w:p>
    <w:p>
      <w:pPr>
        <w:pStyle w:val="4"/>
        <w:widowControl/>
        <w:spacing w:line="360" w:lineRule="auto"/>
        <w:jc w:val="center"/>
        <w:rPr>
          <w:rFonts w:ascii="方正小标宋简体" w:hAnsi="黑体" w:eastAsia="方正小标宋简体" w:cs="黑体"/>
          <w:color w:val="000000"/>
          <w:spacing w:val="27"/>
          <w:sz w:val="36"/>
          <w:szCs w:val="36"/>
          <w:shd w:val="clear" w:color="auto" w:fill="FFFFFF"/>
        </w:rPr>
      </w:pPr>
      <w:r>
        <w:rPr>
          <w:rFonts w:hint="eastAsia" w:ascii="方正小标宋简体" w:hAnsi="黑体" w:eastAsia="方正小标宋简体" w:cs="黑体"/>
          <w:color w:val="000000"/>
          <w:spacing w:val="27"/>
          <w:sz w:val="36"/>
          <w:szCs w:val="36"/>
          <w:shd w:val="clear" w:color="auto" w:fill="FFFFFF"/>
        </w:rPr>
        <w:t>项目支出绩效自评报告</w:t>
      </w:r>
    </w:p>
    <w:p>
      <w:pPr>
        <w:pStyle w:val="4"/>
        <w:widowControl/>
        <w:spacing w:line="360" w:lineRule="auto"/>
        <w:jc w:val="center"/>
        <w:rPr>
          <w:rFonts w:ascii="方正小标宋简体" w:hAnsi="宋体" w:eastAsia="方正小标宋简体" w:cs="宋体"/>
          <w:color w:val="000000"/>
          <w:spacing w:val="-13"/>
          <w:sz w:val="36"/>
          <w:szCs w:val="36"/>
          <w:shd w:val="clear" w:color="auto" w:fill="FFFFFF"/>
        </w:rPr>
      </w:pPr>
      <w:r>
        <w:rPr>
          <w:rFonts w:hint="eastAsia" w:ascii="方正小标宋简体" w:hAnsi="宋体" w:eastAsia="方正小标宋简体" w:cs="宋体"/>
          <w:color w:val="000000"/>
          <w:sz w:val="36"/>
          <w:szCs w:val="36"/>
          <w:shd w:val="clear" w:color="auto" w:fill="FFFFFF"/>
        </w:rPr>
        <w:t>（2016年度中央专项彩票基金支持校外校外活动保障和能力提升</w:t>
      </w:r>
      <w:r>
        <w:rPr>
          <w:rFonts w:hint="eastAsia" w:ascii="方正小标宋简体" w:hAnsi="宋体" w:eastAsia="方正小标宋简体" w:cs="宋体"/>
          <w:color w:val="000000"/>
          <w:spacing w:val="-13"/>
          <w:sz w:val="36"/>
          <w:szCs w:val="36"/>
          <w:shd w:val="clear" w:color="auto" w:fill="FFFFFF"/>
        </w:rPr>
        <w:t>项目）</w:t>
      </w:r>
    </w:p>
    <w:p>
      <w:pPr>
        <w:pStyle w:val="4"/>
        <w:widowControl/>
        <w:spacing w:line="360" w:lineRule="auto"/>
        <w:jc w:val="center"/>
        <w:rPr>
          <w:rFonts w:ascii="宋体" w:hAnsi="宋体" w:eastAsia="宋体" w:cs="宋体"/>
          <w:color w:val="000000"/>
          <w:spacing w:val="-13"/>
          <w:sz w:val="28"/>
          <w:szCs w:val="28"/>
        </w:rPr>
      </w:pPr>
    </w:p>
    <w:p>
      <w:pPr>
        <w:spacing w:line="360" w:lineRule="auto"/>
        <w:ind w:firstLine="560" w:firstLineChars="200"/>
        <w:rPr>
          <w:rFonts w:ascii="仿宋" w:hAnsi="仿宋" w:eastAsia="仿宋" w:cs="宋体"/>
          <w:sz w:val="28"/>
          <w:szCs w:val="28"/>
        </w:rPr>
      </w:pPr>
      <w:r>
        <w:rPr>
          <w:rFonts w:hint="eastAsia" w:ascii="宋体" w:hAnsi="宋体" w:eastAsia="宋体" w:cs="宋体"/>
          <w:color w:val="000000"/>
          <w:sz w:val="28"/>
          <w:szCs w:val="28"/>
          <w:shd w:val="clear" w:color="auto" w:fill="FFFFFF"/>
        </w:rPr>
        <w:t> </w:t>
      </w:r>
      <w:r>
        <w:rPr>
          <w:rFonts w:hint="eastAsia" w:ascii="仿宋" w:hAnsi="仿宋" w:eastAsia="仿宋" w:cs="宋体"/>
          <w:sz w:val="28"/>
          <w:szCs w:val="28"/>
        </w:rPr>
        <w:t>上海市青少年校外活动营地——东方绿舟是上海市教委直属事业单位，是上海市落实科教兴国战略和大力推进素质教育的青少年综合实践基地，是上海最大的校外教育场所。开营15年，受到全国各地乃至世界各地青少年朋友的欢迎，平均每年接待中小学生近百万人天次。</w:t>
      </w:r>
      <w:r>
        <w:rPr>
          <w:rFonts w:hint="eastAsia" w:ascii="仿宋" w:hAnsi="仿宋" w:eastAsia="仿宋" w:cs="宋体"/>
          <w:color w:val="000000"/>
          <w:sz w:val="28"/>
          <w:szCs w:val="28"/>
          <w:shd w:val="clear" w:color="auto" w:fill="FFFFFF"/>
        </w:rPr>
        <w:t>2</w:t>
      </w:r>
      <w:r>
        <w:rPr>
          <w:rFonts w:hint="eastAsia" w:ascii="仿宋" w:hAnsi="仿宋" w:eastAsia="仿宋" w:cs="宋体"/>
          <w:sz w:val="28"/>
          <w:szCs w:val="28"/>
        </w:rPr>
        <w:t>016年度接受中央专项彩票公益基金校外场所保障与提升项目支持总资金为2276.9万元并全部到位。其具体额度和到账情况为：2017年6月28日到位465万元，计划用于公益活动的开展、资源开发和人员培训；2017年9月18日，教育部将</w:t>
      </w:r>
      <w:r>
        <w:rPr>
          <w:rFonts w:hint="eastAsia" w:ascii="仿宋" w:hAnsi="仿宋" w:eastAsia="仿宋" w:cs="宋体"/>
          <w:sz w:val="28"/>
          <w:szCs w:val="28"/>
          <w:lang w:val="en-US" w:eastAsia="zh-CN"/>
        </w:rPr>
        <w:t>第二次划拨</w:t>
      </w:r>
      <w:r>
        <w:rPr>
          <w:rFonts w:hint="eastAsia" w:ascii="仿宋" w:hAnsi="仿宋" w:eastAsia="仿宋" w:cs="宋体"/>
          <w:sz w:val="28"/>
          <w:szCs w:val="28"/>
        </w:rPr>
        <w:t>1811.9万元</w:t>
      </w:r>
      <w:r>
        <w:rPr>
          <w:rFonts w:hint="eastAsia" w:ascii="仿宋" w:hAnsi="仿宋" w:eastAsia="仿宋" w:cs="宋体"/>
          <w:sz w:val="28"/>
          <w:szCs w:val="28"/>
          <w:lang w:val="en-US" w:eastAsia="zh-CN"/>
        </w:rPr>
        <w:t>支持</w:t>
      </w:r>
      <w:r>
        <w:rPr>
          <w:rFonts w:hint="eastAsia" w:ascii="仿宋" w:hAnsi="仿宋" w:eastAsia="仿宋" w:cs="宋体"/>
          <w:sz w:val="28"/>
          <w:szCs w:val="28"/>
        </w:rPr>
        <w:t>东方绿舟，其中500万元计划用于全第二届全国中小学生电影周活动，1311.9万元用于公共安全教育智慧实训全过程管理系统的支撑安全实训课程的软件开发及配套教学资源的开发、实施安全教育专业教师团队及运营管理团队的培训。</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截止到目前为止，整体资金已使用2063.9万元，尚有213.03万元未执行。根据《教育部办公厅关于做好2017年度中央专项彩票公益基金支持校外教育事业发展项目支出绩效评价（考核和验收）工作的通知》，按照市教委具体要求，对项目支出绩效评价工作进行自评。具体内容如下：</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一、项目支出绩效指标完成情况</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依据项目组织实施管理办法，结合项目特点，于2017年第一季度</w:t>
      </w:r>
      <w:r>
        <w:rPr>
          <w:rFonts w:hint="eastAsia" w:ascii="仿宋" w:hAnsi="仿宋" w:eastAsia="仿宋" w:cs="宋体"/>
          <w:sz w:val="28"/>
          <w:szCs w:val="28"/>
          <w:lang w:val="en-US" w:eastAsia="zh-CN"/>
        </w:rPr>
        <w:t>即</w:t>
      </w:r>
      <w:bookmarkStart w:id="0" w:name="_GoBack"/>
      <w:bookmarkEnd w:id="0"/>
      <w:r>
        <w:rPr>
          <w:rFonts w:hint="eastAsia" w:ascii="仿宋" w:hAnsi="仿宋" w:eastAsia="仿宋" w:cs="宋体"/>
          <w:sz w:val="28"/>
          <w:szCs w:val="28"/>
        </w:rPr>
        <w:t>开始有序开展、完成各项活动。</w:t>
      </w:r>
    </w:p>
    <w:p>
      <w:pPr>
        <w:spacing w:line="360" w:lineRule="auto"/>
        <w:ind w:firstLine="643" w:firstLineChars="200"/>
        <w:jc w:val="center"/>
        <w:rPr>
          <w:rFonts w:hint="eastAsia" w:ascii="仿宋" w:hAnsi="仿宋" w:eastAsia="仿宋" w:cs="宋体"/>
          <w:b/>
          <w:bCs/>
          <w:sz w:val="32"/>
          <w:szCs w:val="32"/>
        </w:rPr>
      </w:pPr>
    </w:p>
    <w:p>
      <w:pPr>
        <w:spacing w:line="360" w:lineRule="auto"/>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产出指标</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数量指标</w:t>
      </w:r>
    </w:p>
    <w:p>
      <w:pPr>
        <w:numPr>
          <w:ilvl w:val="0"/>
          <w:numId w:val="1"/>
        </w:num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主题活动组织开展</w:t>
      </w:r>
    </w:p>
    <w:p>
      <w:pPr>
        <w:spacing w:line="360" w:lineRule="auto"/>
        <w:ind w:firstLine="840" w:firstLineChars="300"/>
        <w:rPr>
          <w:rFonts w:ascii="仿宋" w:hAnsi="仿宋" w:eastAsia="仿宋" w:cs="宋体"/>
          <w:sz w:val="28"/>
          <w:szCs w:val="28"/>
        </w:rPr>
      </w:pPr>
      <w:r>
        <w:rPr>
          <w:rFonts w:hint="eastAsia" w:ascii="仿宋" w:hAnsi="仿宋" w:eastAsia="仿宋" w:cs="宋体"/>
          <w:sz w:val="28"/>
          <w:szCs w:val="28"/>
        </w:rPr>
        <w:t>围绕“少年传承中华传统美德”系列教育活动、“圆梦蒲公英”活动、科普教育活动、课后服务活动、中小学生社会实践活动开展了18个共30批次公益活动，项目完成良好，共有全国中小学生逾百万学生参与。具体执行情况如下：</w:t>
      </w:r>
    </w:p>
    <w:tbl>
      <w:tblPr>
        <w:tblStyle w:val="6"/>
        <w:tblW w:w="9729" w:type="dxa"/>
        <w:tblInd w:w="0" w:type="dxa"/>
        <w:tblLayout w:type="fixed"/>
        <w:tblCellMar>
          <w:top w:w="15" w:type="dxa"/>
          <w:left w:w="15" w:type="dxa"/>
          <w:bottom w:w="15" w:type="dxa"/>
          <w:right w:w="15" w:type="dxa"/>
        </w:tblCellMar>
      </w:tblPr>
      <w:tblGrid>
        <w:gridCol w:w="494"/>
        <w:gridCol w:w="660"/>
        <w:gridCol w:w="2263"/>
        <w:gridCol w:w="993"/>
        <w:gridCol w:w="340"/>
        <w:gridCol w:w="794"/>
        <w:gridCol w:w="480"/>
        <w:gridCol w:w="937"/>
        <w:gridCol w:w="730"/>
        <w:gridCol w:w="580"/>
        <w:gridCol w:w="588"/>
        <w:gridCol w:w="280"/>
        <w:gridCol w:w="590"/>
      </w:tblGrid>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r>
              <w:rPr>
                <w:rFonts w:hint="eastAsia" w:ascii="仿宋" w:hAnsi="仿宋" w:eastAsia="仿宋" w:cs="宋体"/>
                <w:color w:val="000000"/>
                <w:szCs w:val="21"/>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r>
              <w:rPr>
                <w:rFonts w:hint="eastAsia" w:ascii="仿宋" w:hAnsi="仿宋" w:eastAsia="仿宋" w:cs="宋体"/>
                <w:color w:val="000000"/>
                <w:szCs w:val="21"/>
              </w:rPr>
              <w:t>时间</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r>
              <w:rPr>
                <w:rFonts w:hint="eastAsia" w:ascii="仿宋" w:hAnsi="仿宋" w:eastAsia="仿宋" w:cs="宋体"/>
                <w:color w:val="000000"/>
                <w:szCs w:val="21"/>
              </w:rPr>
              <w:t>活动名称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金额</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（万元）</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批数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活动参与人数</w:t>
            </w:r>
          </w:p>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（人次）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宣传总量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活动推广覆盖面（人次）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完成率</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好评率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社会联动量</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视频</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活动手册</w:t>
            </w: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圆梦蒲公英，远征小红军</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22.2</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11</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2017“童心善行情暖绿舟”六一公益活动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7.2</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600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9.18事变86周年祭主题活动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4.6</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r>
              <w:rPr>
                <w:rFonts w:hint="eastAsia" w:ascii="仿宋" w:hAnsi="仿宋" w:eastAsia="仿宋" w:cs="宋体"/>
                <w:color w:val="000000"/>
                <w:szCs w:val="21"/>
              </w:rPr>
              <w:t>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2017年STEAM青少年创意大赛</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7.7</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1100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92%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95%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2017年自然保护周活动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22.1</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非遗文化与创新精神主题活动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40.5</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3800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98%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15</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绿舟交通安全体验课堂科普活动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23.6</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140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95%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国旗下成长主题活动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4.6</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color w:val="000000"/>
                <w:kern w:val="0"/>
                <w:szCs w:val="21"/>
                <w:lang w:bidi="ar"/>
              </w:rPr>
            </w:pP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color w:val="000000"/>
                <w:kern w:val="0"/>
                <w:szCs w:val="21"/>
                <w:lang w:bidi="ar"/>
              </w:rPr>
            </w:pPr>
          </w:p>
        </w:tc>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环保科普自然课堂系列活动</w:t>
            </w:r>
          </w:p>
        </w:tc>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12.8</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750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r>
      <w:tr>
        <w:tblPrEx>
          <w:tblLayout w:type="fixed"/>
          <w:tblCellMar>
            <w:top w:w="15" w:type="dxa"/>
            <w:left w:w="15" w:type="dxa"/>
            <w:bottom w:w="15" w:type="dxa"/>
            <w:right w:w="15" w:type="dxa"/>
          </w:tblCellMar>
        </w:tblPrEx>
        <w:trPr>
          <w:trHeight w:val="285" w:hRule="atLeast"/>
        </w:trPr>
        <w:tc>
          <w:tcPr>
            <w:tcW w:w="494"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仁义礼智信国学拓展活动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17.6</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“少先队入队仪式”主题活动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8.3</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军魂历练重走长征路小铁人赛活动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16.3</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160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第十三届上海市十八岁成人仪式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62.9</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2800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教委老干部合唱团演出活动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2.1</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爱国主义宣传教育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11.9</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7500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仰将士之光</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1800000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1800000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安全科普实训活动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4.8</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《血染红十》演出活动</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10.8</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2500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淞沪抗战纪念活动《血色丰碑》演出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16.2</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12600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w:t>
            </w:r>
          </w:p>
        </w:tc>
      </w:tr>
      <w:tr>
        <w:tblPrEx>
          <w:tblLayout w:type="fixed"/>
          <w:tblCellMar>
            <w:top w:w="15" w:type="dxa"/>
            <w:left w:w="15" w:type="dxa"/>
            <w:bottom w:w="15" w:type="dxa"/>
            <w:right w:w="15" w:type="dxa"/>
          </w:tblCellMar>
        </w:tblPrEx>
        <w:trPr>
          <w:trHeight w:val="285"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kern w:val="0"/>
                <w:szCs w:val="21"/>
                <w:lang w:bidi="ar"/>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296.3</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1842650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2842100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99%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70</w:t>
            </w:r>
          </w:p>
        </w:tc>
        <w:tc>
          <w:tcPr>
            <w:tcW w:w="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8</w:t>
            </w:r>
          </w:p>
        </w:tc>
      </w:tr>
    </w:tbl>
    <w:p>
      <w:pPr>
        <w:spacing w:line="360" w:lineRule="auto"/>
        <w:rPr>
          <w:rFonts w:ascii="仿宋" w:hAnsi="仿宋" w:eastAsia="仿宋" w:cs="宋体"/>
          <w:sz w:val="28"/>
          <w:szCs w:val="28"/>
        </w:rPr>
      </w:pPr>
    </w:p>
    <w:p>
      <w:pPr>
        <w:numPr>
          <w:ilvl w:val="0"/>
          <w:numId w:val="1"/>
        </w:num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第二届全国中小学生电影周活动：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2017年12月电影周活动在上海举行。教育部副部长朱之文、上海市副市长翁铁慧出席了本届电影周闭幕式。2000多名相关代表参加了电影周开幕式和闭幕式。电影周开展了六大板块共计60项活动。本市和全国中小学生通过多种方式观摩了推荐影片，征集到全国原创微电影作品272部开幕式当天举办了“影视与德育”论坛。电影周交流了中小学影视教育的经验与做法、参与与感悟，共同探讨了新时代影视教育的新思路、新举措。活动取得了圆满成功，完成情况良好，具体完成情况如下：</w:t>
      </w:r>
    </w:p>
    <w:p>
      <w:pPr>
        <w:numPr>
          <w:ilvl w:val="0"/>
          <w:numId w:val="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通过走进影院送影进校园流动放映、电视展映、网络展映等多种形式组织学生观摩了故事片、纪录片、动画片、儿童片等不同类型优秀影片。推荐影片由上届16部增加到31部。</w:t>
      </w:r>
    </w:p>
    <w:p>
      <w:pPr>
        <w:numPr>
          <w:ilvl w:val="0"/>
          <w:numId w:val="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本届共收到学生原创微电影作品272部，报送的作品涵盖了23个省（区、市），240多所学校。原计划的向上海征集学生微电影，调整为向全国征集，覆盖面更广，收益范围更多。</w:t>
      </w:r>
    </w:p>
    <w:p>
      <w:pPr>
        <w:numPr>
          <w:ilvl w:val="0"/>
          <w:numId w:val="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入围的100部微电影在1905电影网上进行了为期一周的专题展播，平均每部影片的全国观看量都达到2万次以上。所有活动通过CCTV-6、中国教育电视台、1905电影网、上海教育电视台等进行播放，实现线上与线下、现场与远程的互动，覆盖率远超200万人次。上海有近160万人次的中小学生参与了网络投票评选活动。30多万本市中小学生、100多名遵义师生及广西、新疆等中西部地区师生现场参加了活动。</w:t>
      </w:r>
    </w:p>
    <w:p>
      <w:pPr>
        <w:numPr>
          <w:ilvl w:val="0"/>
          <w:numId w:val="1"/>
        </w:num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资源开发</w:t>
      </w:r>
    </w:p>
    <w:p>
      <w:pPr>
        <w:numPr>
          <w:ilvl w:val="0"/>
          <w:numId w:val="3"/>
        </w:numPr>
        <w:spacing w:line="520" w:lineRule="exact"/>
        <w:ind w:firstLine="561"/>
        <w:rPr>
          <w:rFonts w:ascii="仿宋" w:hAnsi="仿宋" w:eastAsia="仿宋" w:cs="宋体"/>
          <w:sz w:val="28"/>
          <w:szCs w:val="28"/>
        </w:rPr>
      </w:pPr>
      <w:r>
        <w:rPr>
          <w:rFonts w:hint="eastAsia" w:ascii="仿宋" w:hAnsi="仿宋" w:eastAsia="仿宋" w:cs="宋体"/>
          <w:sz w:val="28"/>
          <w:szCs w:val="28"/>
        </w:rPr>
        <w:t xml:space="preserve">支持本市开发青少年校外教育课程学生社会实践课程、营地活动生命教育课程、公共安全教育课程等3大系列18门，并按课程类别汇编3册教材和制作3部配套视频。具体执行情况如下：     </w:t>
      </w:r>
    </w:p>
    <w:tbl>
      <w:tblPr>
        <w:tblStyle w:val="6"/>
        <w:tblW w:w="9253" w:type="dxa"/>
        <w:tblInd w:w="0" w:type="dxa"/>
        <w:tblLayout w:type="fixed"/>
        <w:tblCellMar>
          <w:top w:w="15" w:type="dxa"/>
          <w:left w:w="15" w:type="dxa"/>
          <w:bottom w:w="15" w:type="dxa"/>
          <w:right w:w="15" w:type="dxa"/>
        </w:tblCellMar>
      </w:tblPr>
      <w:tblGrid>
        <w:gridCol w:w="1388"/>
        <w:gridCol w:w="2313"/>
        <w:gridCol w:w="1388"/>
        <w:gridCol w:w="1388"/>
        <w:gridCol w:w="1388"/>
        <w:gridCol w:w="1388"/>
      </w:tblGrid>
      <w:tr>
        <w:tblPrEx>
          <w:tblLayout w:type="fixed"/>
          <w:tblCellMar>
            <w:top w:w="15" w:type="dxa"/>
            <w:left w:w="15" w:type="dxa"/>
            <w:bottom w:w="15" w:type="dxa"/>
            <w:right w:w="15" w:type="dxa"/>
          </w:tblCellMar>
        </w:tblPrEx>
        <w:trPr>
          <w:trHeight w:val="285"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类别</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课程名称</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金额</w:t>
            </w:r>
          </w:p>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（万元）</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课程成果集（册）</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拍摄视频</w:t>
            </w:r>
          </w:p>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（片）</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完成率</w:t>
            </w:r>
          </w:p>
        </w:tc>
      </w:tr>
      <w:tr>
        <w:tblPrEx>
          <w:tblLayout w:type="fixed"/>
          <w:tblCellMar>
            <w:top w:w="15" w:type="dxa"/>
            <w:left w:w="15" w:type="dxa"/>
            <w:bottom w:w="15" w:type="dxa"/>
            <w:right w:w="15" w:type="dxa"/>
          </w:tblCellMar>
        </w:tblPrEx>
        <w:trPr>
          <w:trHeight w:val="28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公共安全实训类课程</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道路交通安全实训</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40.4</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pPr>
              <w:widowControl/>
              <w:ind w:firstLine="420" w:firstLineChars="200"/>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kern w:val="0"/>
                <w:szCs w:val="21"/>
                <w:lang w:bidi="ar"/>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《防震避险，珍爱生命》</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校园意外伤害救护</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气象灾害我不怕</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公寓日常安全</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消防安全实训课程</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生命与生存教育类</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兵器探秘</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25.9</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宋体"/>
                <w:color w:val="000000"/>
                <w:kern w:val="0"/>
                <w:szCs w:val="21"/>
                <w:lang w:bidi="ar"/>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荒野求生</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荒野战歌之生存挑战</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计划与执行</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绿舟寻密</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轻武器之魂</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生命之光</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研学旅行类</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古镇探秘</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25.3</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pPr>
              <w:ind w:firstLine="420" w:firstLineChars="200"/>
              <w:rPr>
                <w:rFonts w:ascii="仿宋" w:hAnsi="仿宋" w:eastAsia="仿宋" w:cs="宋体"/>
                <w:color w:val="000000"/>
                <w:szCs w:val="21"/>
              </w:rPr>
            </w:pPr>
            <w:r>
              <w:rPr>
                <w:rFonts w:hint="eastAsia" w:ascii="仿宋" w:hAnsi="仿宋" w:eastAsia="仿宋" w:cs="宋体"/>
                <w:color w:val="000000"/>
                <w:szCs w:val="21"/>
              </w:rPr>
              <w:t>1</w:t>
            </w:r>
          </w:p>
        </w:tc>
        <w:tc>
          <w:tcPr>
            <w:tcW w:w="13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环球之旅</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江南竹韵</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龙文化体验</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亲子自然课堂</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28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小眼睛看世界</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90"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走进海军</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vMerge w:val="continue"/>
            <w:tcBorders>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r>
        <w:tblPrEx>
          <w:tblLayout w:type="fixed"/>
          <w:tblCellMar>
            <w:top w:w="15" w:type="dxa"/>
            <w:left w:w="15" w:type="dxa"/>
            <w:bottom w:w="15" w:type="dxa"/>
            <w:right w:w="15" w:type="dxa"/>
          </w:tblCellMar>
        </w:tblPrEx>
        <w:trPr>
          <w:trHeight w:val="90" w:hRule="atLeast"/>
        </w:trPr>
        <w:tc>
          <w:tcPr>
            <w:tcW w:w="13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其他</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教师培训专家讲课费、专家劳务费</w:t>
            </w:r>
          </w:p>
        </w:tc>
        <w:tc>
          <w:tcPr>
            <w:tcW w:w="555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6.5</w:t>
            </w:r>
          </w:p>
        </w:tc>
      </w:tr>
      <w:tr>
        <w:tblPrEx>
          <w:tblLayout w:type="fixed"/>
          <w:tblCellMar>
            <w:top w:w="15" w:type="dxa"/>
            <w:left w:w="15" w:type="dxa"/>
            <w:bottom w:w="15" w:type="dxa"/>
            <w:right w:w="15" w:type="dxa"/>
          </w:tblCellMar>
        </w:tblPrEx>
        <w:trPr>
          <w:trHeight w:val="422" w:hRule="atLeast"/>
        </w:trPr>
        <w:tc>
          <w:tcPr>
            <w:tcW w:w="1388"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教师外出考察学习费用</w:t>
            </w:r>
          </w:p>
        </w:tc>
        <w:tc>
          <w:tcPr>
            <w:tcW w:w="555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9.6</w:t>
            </w:r>
          </w:p>
        </w:tc>
      </w:tr>
      <w:tr>
        <w:tblPrEx>
          <w:tblLayout w:type="fixed"/>
          <w:tblCellMar>
            <w:top w:w="15" w:type="dxa"/>
            <w:left w:w="15" w:type="dxa"/>
            <w:bottom w:w="15" w:type="dxa"/>
            <w:right w:w="15" w:type="dxa"/>
          </w:tblCellMar>
        </w:tblPrEx>
        <w:trPr>
          <w:trHeight w:val="90" w:hRule="atLeast"/>
        </w:trPr>
        <w:tc>
          <w:tcPr>
            <w:tcW w:w="13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中央彩票公益金支持项目相关讨论会费用</w:t>
            </w:r>
          </w:p>
        </w:tc>
        <w:tc>
          <w:tcPr>
            <w:tcW w:w="555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1.4</w:t>
            </w:r>
          </w:p>
        </w:tc>
      </w:tr>
      <w:tr>
        <w:tblPrEx>
          <w:tblLayout w:type="fixed"/>
          <w:tblCellMar>
            <w:top w:w="15" w:type="dxa"/>
            <w:left w:w="15" w:type="dxa"/>
            <w:bottom w:w="15" w:type="dxa"/>
            <w:right w:w="15" w:type="dxa"/>
          </w:tblCellMar>
        </w:tblPrEx>
        <w:trPr>
          <w:trHeight w:val="90" w:hRule="atLeast"/>
        </w:trPr>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合计</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109.1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r>
    </w:tbl>
    <w:p>
      <w:pPr>
        <w:spacing w:line="520" w:lineRule="exact"/>
        <w:rPr>
          <w:rFonts w:ascii="仿宋" w:hAnsi="仿宋" w:eastAsia="仿宋" w:cs="宋体"/>
          <w:sz w:val="28"/>
          <w:szCs w:val="28"/>
        </w:rPr>
      </w:pPr>
    </w:p>
    <w:p>
      <w:pPr>
        <w:spacing w:line="520" w:lineRule="exact"/>
        <w:ind w:firstLine="561"/>
        <w:rPr>
          <w:rFonts w:ascii="仿宋" w:hAnsi="仿宋" w:eastAsia="仿宋" w:cs="宋体"/>
          <w:sz w:val="28"/>
          <w:szCs w:val="28"/>
        </w:rPr>
      </w:pPr>
      <w:r>
        <w:rPr>
          <w:rFonts w:hint="eastAsia" w:ascii="仿宋" w:hAnsi="仿宋" w:eastAsia="仿宋" w:cs="宋体"/>
          <w:sz w:val="28"/>
          <w:szCs w:val="28"/>
        </w:rPr>
        <w:t>2）公共安全教育信息化建设软件开发和配套教学资源开发。</w:t>
      </w:r>
    </w:p>
    <w:p>
      <w:pPr>
        <w:spacing w:line="520" w:lineRule="exact"/>
        <w:ind w:firstLine="561"/>
        <w:rPr>
          <w:rFonts w:ascii="仿宋" w:hAnsi="仿宋" w:eastAsia="仿宋" w:cs="宋体"/>
          <w:sz w:val="28"/>
          <w:szCs w:val="28"/>
        </w:rPr>
      </w:pPr>
      <w:r>
        <w:rPr>
          <w:rFonts w:hint="eastAsia" w:ascii="仿宋" w:hAnsi="仿宋" w:eastAsia="仿宋" w:cs="宋体"/>
          <w:sz w:val="28"/>
          <w:szCs w:val="28"/>
        </w:rPr>
        <w:t xml:space="preserve">  A.公共安全教育智慧实训全过程管理系统项目:</w:t>
      </w:r>
    </w:p>
    <w:p>
      <w:pPr>
        <w:spacing w:line="520" w:lineRule="exact"/>
        <w:ind w:firstLine="561"/>
        <w:rPr>
          <w:rFonts w:ascii="仿宋" w:hAnsi="仿宋" w:eastAsia="仿宋" w:cs="宋体"/>
          <w:sz w:val="28"/>
          <w:szCs w:val="28"/>
        </w:rPr>
      </w:pPr>
      <w:r>
        <w:rPr>
          <w:rFonts w:hint="eastAsia" w:ascii="仿宋" w:hAnsi="仿宋" w:eastAsia="仿宋" w:cs="宋体"/>
          <w:sz w:val="28"/>
          <w:szCs w:val="28"/>
        </w:rPr>
        <w:t>本项目包含现场自助服务系统、安全智慧实训系统、专题网站系统、数据管理发布系统、用户管理中心系统、实训互动管理系统、运营数据分析系统、智能设备管理系统8个子系统，以及平台对外接口的开发工作。该部分总计金额245万人民币。</w:t>
      </w:r>
    </w:p>
    <w:p>
      <w:pPr>
        <w:spacing w:line="520" w:lineRule="exact"/>
        <w:ind w:firstLine="561"/>
        <w:rPr>
          <w:rFonts w:ascii="仿宋" w:hAnsi="仿宋" w:eastAsia="仿宋" w:cs="宋体"/>
          <w:sz w:val="28"/>
          <w:szCs w:val="28"/>
        </w:rPr>
      </w:pPr>
      <w:r>
        <w:rPr>
          <w:rFonts w:hint="eastAsia" w:ascii="仿宋" w:hAnsi="仿宋" w:eastAsia="仿宋" w:cs="宋体"/>
          <w:sz w:val="28"/>
          <w:szCs w:val="28"/>
        </w:rPr>
        <w:t>目前我方已完成7个系统共58个主要功能模块的开发工作，完成金额213万元；尚剩余一个系统和接口需在下阶段完成开发，以及其他各个系统的优化、调试工作。详细清单如下：</w:t>
      </w:r>
    </w:p>
    <w:tbl>
      <w:tblPr>
        <w:tblStyle w:val="6"/>
        <w:tblpPr w:leftFromText="180" w:rightFromText="180" w:vertAnchor="text" w:horzAnchor="page" w:tblpX="1221" w:tblpY="477"/>
        <w:tblOverlap w:val="never"/>
        <w:tblW w:w="9678" w:type="dxa"/>
        <w:tblInd w:w="0" w:type="dxa"/>
        <w:tblLayout w:type="fixed"/>
        <w:tblCellMar>
          <w:top w:w="0" w:type="dxa"/>
          <w:left w:w="108" w:type="dxa"/>
          <w:bottom w:w="0" w:type="dxa"/>
          <w:right w:w="108" w:type="dxa"/>
        </w:tblCellMar>
      </w:tblPr>
      <w:tblGrid>
        <w:gridCol w:w="675"/>
        <w:gridCol w:w="1418"/>
        <w:gridCol w:w="3685"/>
        <w:gridCol w:w="1300"/>
        <w:gridCol w:w="1300"/>
        <w:gridCol w:w="1300"/>
      </w:tblGrid>
      <w:tr>
        <w:tblPrEx>
          <w:tblLayout w:type="fixed"/>
          <w:tblCellMar>
            <w:top w:w="0" w:type="dxa"/>
            <w:left w:w="108" w:type="dxa"/>
            <w:bottom w:w="0" w:type="dxa"/>
            <w:right w:w="108" w:type="dxa"/>
          </w:tblCellMar>
        </w:tblPrEx>
        <w:trPr>
          <w:trHeight w:val="35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序号</w:t>
            </w:r>
          </w:p>
        </w:tc>
        <w:tc>
          <w:tcPr>
            <w:tcW w:w="1418"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系统名称</w:t>
            </w:r>
          </w:p>
        </w:tc>
        <w:tc>
          <w:tcPr>
            <w:tcW w:w="3685"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功能模块</w:t>
            </w:r>
          </w:p>
        </w:tc>
        <w:tc>
          <w:tcPr>
            <w:tcW w:w="130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单价（万元）</w:t>
            </w:r>
          </w:p>
        </w:tc>
        <w:tc>
          <w:tcPr>
            <w:tcW w:w="130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数量</w:t>
            </w:r>
          </w:p>
        </w:tc>
        <w:tc>
          <w:tcPr>
            <w:tcW w:w="130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总价（万元）</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现场自助服务系统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会员自助服务</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会员注册模块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会员自助服务</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会员信息浏览模块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会员自助服务</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会员信息维护模块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会员自助服务</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团队登录模块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手环自助管理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手环发放模块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手环自助管理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批量发放模块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7</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手环自助管理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手环识别模块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8</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证书自助管理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证书打印模块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9</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证书自助管理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批量打印模块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自助预约</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活动预约模块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tcPr>
          <w:p>
            <w:pPr>
              <w:jc w:val="cente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11</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自助预约</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预约管理模块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tcPr>
          <w:p>
            <w:pPr>
              <w:jc w:val="cente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12</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信息服务</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公告信息模块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信息服务</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场馆介绍模块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14</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工作人员操作模块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15</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安全智慧实训系统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身份确认模块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16</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知识展示模块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17</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智能题库</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题库智能选题模块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智能题库</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互动答题模块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成绩核算模块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工作人员操作模块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21</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专题网站系统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信息公告模块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22</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展馆介绍模块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会员中心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会员注册模块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24</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会员中心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会员信息维护模块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会员中心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我的成绩模块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26</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会员中心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我的预约模块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27</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会员中心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我的证书模块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28</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活动预约</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活动介绍模块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29</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活动预约</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在线预约模块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网站统一检索</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31</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数据管理发布系统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网站内容管理发布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网站内容发布</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32</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网站内容管理发布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专题内容发布</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网站内容管理发布</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预约活动管理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34</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用户管理中心系统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会员信息管理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会员发证管理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36</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会员管理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会员预约管理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37</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工作人员用户管理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用户信息管理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38</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工作人员用户管理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用户角色管理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39</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工作人员用户管理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用户权限管理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工作人员用户管理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用户操作日志</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41</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实训互动管理系统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学习过程定制</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学习主题设置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42</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学习过程定制</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题库选取设置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学习过程定制</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演练任务设置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44</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学习过程定制</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成绩核算设置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演练任务管理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任务流程设置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46</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演练任务管理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下载任务设置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47</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演练任务管理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成绩核算设置</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48</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智能设备管理系统</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登录机管理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登录机</w:t>
            </w:r>
            <w:r>
              <w:rPr>
                <w:rFonts w:ascii="仿宋" w:hAnsi="仿宋" w:eastAsia="仿宋" w:cs="Times New Roman"/>
                <w:color w:val="000000"/>
                <w:kern w:val="0"/>
                <w:szCs w:val="21"/>
              </w:rPr>
              <w:t>IP</w:t>
            </w:r>
            <w:r>
              <w:rPr>
                <w:rFonts w:hint="eastAsia" w:ascii="仿宋" w:hAnsi="仿宋" w:eastAsia="仿宋" w:cs="Times New Roman"/>
                <w:color w:val="000000"/>
                <w:kern w:val="0"/>
                <w:szCs w:val="21"/>
              </w:rPr>
              <w:t>分配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49</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登录机管理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登录机设置管理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50</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登录机管理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运行状态监控</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51</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登录机管理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设备故障报告</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52</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实训终端管理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实训终端</w:t>
            </w:r>
            <w:r>
              <w:rPr>
                <w:rFonts w:ascii="仿宋" w:hAnsi="仿宋" w:eastAsia="仿宋" w:cs="Times New Roman"/>
                <w:color w:val="000000"/>
                <w:kern w:val="0"/>
                <w:szCs w:val="21"/>
              </w:rPr>
              <w:t>IP</w:t>
            </w:r>
            <w:r>
              <w:rPr>
                <w:rFonts w:hint="eastAsia" w:ascii="仿宋" w:hAnsi="仿宋" w:eastAsia="仿宋" w:cs="Times New Roman"/>
                <w:color w:val="000000"/>
                <w:kern w:val="0"/>
                <w:szCs w:val="21"/>
              </w:rPr>
              <w:t>分配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53</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实训终端管理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实训终端设置管理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54</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实训终端管理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实训终端运行状态监控</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55</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实训终端管理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设备故障报告</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56</w:t>
            </w: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智能手环管理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手环发行管理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35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57</w:t>
            </w: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智能手环管理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手环绑定管理</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5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58</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Cs w:val="21"/>
              </w:rPr>
            </w:pP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智能手环管理</w:t>
            </w:r>
            <w:r>
              <w:rPr>
                <w:rFonts w:ascii="仿宋" w:hAnsi="仿宋" w:eastAsia="仿宋" w:cs="Times New Roman"/>
                <w:color w:val="000000"/>
                <w:kern w:val="0"/>
                <w:szCs w:val="21"/>
              </w:rPr>
              <w:t>-</w:t>
            </w:r>
            <w:r>
              <w:rPr>
                <w:rFonts w:hint="eastAsia" w:ascii="仿宋" w:hAnsi="仿宋" w:eastAsia="仿宋" w:cs="Times New Roman"/>
                <w:color w:val="000000"/>
                <w:kern w:val="0"/>
                <w:szCs w:val="21"/>
              </w:rPr>
              <w:t>手环作废管理</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360" w:hRule="atLeast"/>
        </w:trPr>
        <w:tc>
          <w:tcPr>
            <w:tcW w:w="8378" w:type="dxa"/>
            <w:gridSpan w:val="5"/>
            <w:tcBorders>
              <w:top w:val="single" w:color="auto" w:sz="4" w:space="0"/>
              <w:left w:val="single" w:color="auto" w:sz="4" w:space="0"/>
              <w:bottom w:val="single" w:color="auto" w:sz="4" w:space="0"/>
              <w:right w:val="nil"/>
            </w:tcBorders>
            <w:shd w:val="clear" w:color="auto" w:fill="auto"/>
            <w:vAlign w:val="bottom"/>
          </w:tcPr>
          <w:p>
            <w:pPr>
              <w:widowControl/>
              <w:jc w:val="right"/>
              <w:rPr>
                <w:rFonts w:ascii="仿宋" w:hAnsi="仿宋" w:eastAsia="仿宋" w:cs="Times New Roman"/>
                <w:kern w:val="0"/>
                <w:szCs w:val="21"/>
              </w:rPr>
            </w:pPr>
            <w:r>
              <w:rPr>
                <w:rFonts w:hint="eastAsia" w:ascii="仿宋" w:hAnsi="仿宋" w:eastAsia="仿宋" w:cs="Times New Roman"/>
                <w:kern w:val="0"/>
                <w:szCs w:val="21"/>
              </w:rPr>
              <w:t>合计：</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213</w:t>
            </w:r>
          </w:p>
        </w:tc>
      </w:tr>
    </w:tbl>
    <w:p>
      <w:pPr>
        <w:spacing w:line="520" w:lineRule="exact"/>
        <w:ind w:firstLine="561"/>
        <w:rPr>
          <w:rFonts w:ascii="仿宋" w:hAnsi="仿宋" w:eastAsia="仿宋" w:cs="宋体"/>
          <w:szCs w:val="21"/>
        </w:rPr>
      </w:pPr>
    </w:p>
    <w:p>
      <w:pPr>
        <w:spacing w:line="360" w:lineRule="auto"/>
        <w:ind w:firstLine="420" w:firstLineChars="200"/>
        <w:rPr>
          <w:rFonts w:ascii="仿宋" w:hAnsi="仿宋" w:eastAsia="仿宋" w:cs="宋体"/>
          <w:sz w:val="28"/>
          <w:szCs w:val="28"/>
        </w:rPr>
      </w:pPr>
      <w:r>
        <w:rPr>
          <w:rFonts w:hint="eastAsia" w:ascii="仿宋" w:hAnsi="仿宋" w:eastAsia="仿宋" w:cs="宋体"/>
          <w:szCs w:val="21"/>
        </w:rPr>
        <w:t>B.云数据实训课程中心项目为服务器配套的软件</w:t>
      </w:r>
      <w:r>
        <w:rPr>
          <w:rFonts w:hint="eastAsia" w:ascii="仿宋" w:hAnsi="仿宋" w:eastAsia="仿宋" w:cs="宋体"/>
          <w:sz w:val="28"/>
          <w:szCs w:val="28"/>
        </w:rPr>
        <w:t>部分</w:t>
      </w:r>
    </w:p>
    <w:tbl>
      <w:tblPr>
        <w:tblStyle w:val="7"/>
        <w:tblW w:w="9000" w:type="dxa"/>
        <w:jc w:val="center"/>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054"/>
        <w:gridCol w:w="205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名称</w:t>
            </w:r>
          </w:p>
        </w:tc>
        <w:tc>
          <w:tcPr>
            <w:tcW w:w="2054" w:type="dxa"/>
            <w:vAlign w:val="center"/>
          </w:tcPr>
          <w:p>
            <w:pPr>
              <w:jc w:val="center"/>
              <w:rPr>
                <w:rFonts w:ascii="仿宋" w:hAnsi="仿宋" w:eastAsia="仿宋"/>
                <w:szCs w:val="21"/>
              </w:rPr>
            </w:pPr>
            <w:r>
              <w:rPr>
                <w:rFonts w:hint="eastAsia" w:ascii="仿宋" w:hAnsi="仿宋" w:eastAsia="仿宋"/>
                <w:szCs w:val="21"/>
              </w:rPr>
              <w:t>数量</w:t>
            </w:r>
          </w:p>
        </w:tc>
        <w:tc>
          <w:tcPr>
            <w:tcW w:w="2056" w:type="dxa"/>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（万元）</w:t>
            </w:r>
          </w:p>
        </w:tc>
        <w:tc>
          <w:tcPr>
            <w:tcW w:w="2055" w:type="dxa"/>
            <w:vAlign w:val="center"/>
          </w:tcPr>
          <w:p>
            <w:pPr>
              <w:jc w:val="center"/>
              <w:rPr>
                <w:rFonts w:ascii="仿宋" w:hAnsi="仿宋" w:eastAsia="仿宋"/>
                <w:szCs w:val="21"/>
              </w:rPr>
            </w:pPr>
            <w:r>
              <w:rPr>
                <w:rFonts w:hint="eastAsia" w:ascii="仿宋" w:hAnsi="仿宋" w:eastAsia="仿宋"/>
                <w:szCs w:val="21"/>
              </w:rPr>
              <w:t>费用</w:t>
            </w:r>
          </w:p>
          <w:p>
            <w:pPr>
              <w:jc w:val="center"/>
              <w:rPr>
                <w:rFonts w:ascii="仿宋" w:hAnsi="仿宋" w:eastAsia="仿宋"/>
                <w:szCs w:val="21"/>
              </w:rPr>
            </w:pP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虚拟化软件</w:t>
            </w:r>
          </w:p>
        </w:tc>
        <w:tc>
          <w:tcPr>
            <w:tcW w:w="2054" w:type="dxa"/>
            <w:vAlign w:val="center"/>
          </w:tcPr>
          <w:p>
            <w:pPr>
              <w:jc w:val="center"/>
              <w:rPr>
                <w:rFonts w:ascii="仿宋" w:hAnsi="仿宋" w:eastAsia="仿宋"/>
                <w:szCs w:val="21"/>
              </w:rPr>
            </w:pPr>
            <w:r>
              <w:rPr>
                <w:rFonts w:hint="eastAsia" w:ascii="仿宋" w:hAnsi="仿宋" w:eastAsia="仿宋"/>
                <w:szCs w:val="21"/>
              </w:rPr>
              <w:t>1</w:t>
            </w:r>
          </w:p>
        </w:tc>
        <w:tc>
          <w:tcPr>
            <w:tcW w:w="2056" w:type="dxa"/>
            <w:vAlign w:val="center"/>
          </w:tcPr>
          <w:p>
            <w:pPr>
              <w:jc w:val="center"/>
              <w:rPr>
                <w:rFonts w:ascii="仿宋" w:hAnsi="仿宋" w:eastAsia="仿宋"/>
                <w:szCs w:val="21"/>
              </w:rPr>
            </w:pPr>
            <w:r>
              <w:rPr>
                <w:rFonts w:hint="eastAsia" w:ascii="仿宋" w:hAnsi="仿宋" w:eastAsia="仿宋"/>
                <w:szCs w:val="21"/>
              </w:rPr>
              <w:t>15</w:t>
            </w:r>
          </w:p>
        </w:tc>
        <w:tc>
          <w:tcPr>
            <w:tcW w:w="2055" w:type="dxa"/>
            <w:vAlign w:val="center"/>
          </w:tcPr>
          <w:p>
            <w:pPr>
              <w:jc w:val="center"/>
              <w:rPr>
                <w:rFonts w:ascii="仿宋" w:hAnsi="仿宋" w:eastAsia="仿宋"/>
                <w:szCs w:val="21"/>
              </w:rPr>
            </w:pPr>
            <w:r>
              <w:rPr>
                <w:rFonts w:hint="eastAsia" w:ascii="仿宋" w:hAnsi="仿宋" w:eastAsia="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实训课程包</w:t>
            </w:r>
          </w:p>
        </w:tc>
        <w:tc>
          <w:tcPr>
            <w:tcW w:w="2054" w:type="dxa"/>
            <w:vAlign w:val="center"/>
          </w:tcPr>
          <w:p>
            <w:pPr>
              <w:jc w:val="center"/>
              <w:rPr>
                <w:rFonts w:ascii="仿宋" w:hAnsi="仿宋" w:eastAsia="仿宋"/>
                <w:szCs w:val="21"/>
              </w:rPr>
            </w:pPr>
            <w:r>
              <w:rPr>
                <w:rFonts w:hint="eastAsia" w:ascii="仿宋" w:hAnsi="仿宋" w:eastAsia="仿宋"/>
                <w:szCs w:val="21"/>
              </w:rPr>
              <w:t>10</w:t>
            </w:r>
          </w:p>
        </w:tc>
        <w:tc>
          <w:tcPr>
            <w:tcW w:w="2056" w:type="dxa"/>
            <w:vAlign w:val="center"/>
          </w:tcPr>
          <w:p>
            <w:pPr>
              <w:jc w:val="center"/>
              <w:rPr>
                <w:rFonts w:ascii="仿宋" w:hAnsi="仿宋" w:eastAsia="仿宋"/>
                <w:szCs w:val="21"/>
              </w:rPr>
            </w:pPr>
            <w:r>
              <w:rPr>
                <w:rFonts w:hint="eastAsia" w:ascii="仿宋" w:hAnsi="仿宋" w:eastAsia="仿宋"/>
                <w:szCs w:val="21"/>
              </w:rPr>
              <w:t>4.75</w:t>
            </w:r>
          </w:p>
        </w:tc>
        <w:tc>
          <w:tcPr>
            <w:tcW w:w="2055" w:type="dxa"/>
            <w:vAlign w:val="center"/>
          </w:tcPr>
          <w:p>
            <w:pPr>
              <w:jc w:val="center"/>
              <w:rPr>
                <w:rFonts w:ascii="仿宋" w:hAnsi="仿宋" w:eastAsia="仿宋"/>
                <w:szCs w:val="21"/>
              </w:rPr>
            </w:pPr>
            <w:r>
              <w:rPr>
                <w:rFonts w:hint="eastAsia" w:ascii="仿宋" w:hAnsi="仿宋" w:eastAsia="仿宋"/>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公共安全教育培训资源包</w:t>
            </w:r>
          </w:p>
        </w:tc>
        <w:tc>
          <w:tcPr>
            <w:tcW w:w="2054" w:type="dxa"/>
            <w:vAlign w:val="center"/>
          </w:tcPr>
          <w:p>
            <w:pPr>
              <w:jc w:val="center"/>
              <w:rPr>
                <w:rFonts w:ascii="仿宋" w:hAnsi="仿宋" w:eastAsia="仿宋"/>
                <w:szCs w:val="21"/>
              </w:rPr>
            </w:pPr>
            <w:r>
              <w:rPr>
                <w:rFonts w:hint="eastAsia" w:ascii="仿宋" w:hAnsi="仿宋" w:eastAsia="仿宋"/>
                <w:szCs w:val="21"/>
              </w:rPr>
              <w:t>34</w:t>
            </w:r>
          </w:p>
        </w:tc>
        <w:tc>
          <w:tcPr>
            <w:tcW w:w="2056" w:type="dxa"/>
            <w:vAlign w:val="center"/>
          </w:tcPr>
          <w:p>
            <w:pPr>
              <w:jc w:val="center"/>
              <w:rPr>
                <w:rFonts w:ascii="仿宋" w:hAnsi="仿宋" w:eastAsia="仿宋"/>
                <w:szCs w:val="21"/>
              </w:rPr>
            </w:pPr>
            <w:r>
              <w:rPr>
                <w:rFonts w:hint="eastAsia" w:ascii="仿宋" w:hAnsi="仿宋" w:eastAsia="仿宋"/>
                <w:szCs w:val="21"/>
              </w:rPr>
              <w:t>0.5</w:t>
            </w:r>
          </w:p>
        </w:tc>
        <w:tc>
          <w:tcPr>
            <w:tcW w:w="2055" w:type="dxa"/>
            <w:vAlign w:val="center"/>
          </w:tcPr>
          <w:p>
            <w:pPr>
              <w:jc w:val="center"/>
              <w:rPr>
                <w:rFonts w:ascii="仿宋" w:hAnsi="仿宋" w:eastAsia="仿宋"/>
                <w:szCs w:val="21"/>
              </w:rPr>
            </w:pPr>
            <w:r>
              <w:rPr>
                <w:rFonts w:hint="eastAsia" w:ascii="仿宋" w:hAnsi="仿宋" w:eastAsia="仿宋"/>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课程资源自建系统</w:t>
            </w:r>
          </w:p>
        </w:tc>
        <w:tc>
          <w:tcPr>
            <w:tcW w:w="2054" w:type="dxa"/>
            <w:vAlign w:val="center"/>
          </w:tcPr>
          <w:p>
            <w:pPr>
              <w:jc w:val="center"/>
              <w:rPr>
                <w:rFonts w:ascii="仿宋" w:hAnsi="仿宋" w:eastAsia="仿宋"/>
                <w:szCs w:val="21"/>
              </w:rPr>
            </w:pPr>
            <w:r>
              <w:rPr>
                <w:rFonts w:hint="eastAsia" w:ascii="仿宋" w:hAnsi="仿宋" w:eastAsia="仿宋"/>
                <w:szCs w:val="21"/>
              </w:rPr>
              <w:t>1</w:t>
            </w:r>
          </w:p>
        </w:tc>
        <w:tc>
          <w:tcPr>
            <w:tcW w:w="2056" w:type="dxa"/>
            <w:vAlign w:val="center"/>
          </w:tcPr>
          <w:p>
            <w:pPr>
              <w:jc w:val="center"/>
              <w:rPr>
                <w:rFonts w:ascii="仿宋" w:hAnsi="仿宋" w:eastAsia="仿宋"/>
                <w:szCs w:val="21"/>
              </w:rPr>
            </w:pPr>
            <w:r>
              <w:rPr>
                <w:rFonts w:hint="eastAsia" w:ascii="仿宋" w:hAnsi="仿宋" w:eastAsia="仿宋"/>
                <w:szCs w:val="21"/>
              </w:rPr>
              <w:t>15</w:t>
            </w:r>
          </w:p>
        </w:tc>
        <w:tc>
          <w:tcPr>
            <w:tcW w:w="2055" w:type="dxa"/>
            <w:vAlign w:val="center"/>
          </w:tcPr>
          <w:p>
            <w:pPr>
              <w:jc w:val="center"/>
              <w:rPr>
                <w:rFonts w:ascii="仿宋" w:hAnsi="仿宋" w:eastAsia="仿宋"/>
                <w:szCs w:val="21"/>
              </w:rPr>
            </w:pPr>
            <w:r>
              <w:rPr>
                <w:rFonts w:hint="eastAsia" w:ascii="仿宋" w:hAnsi="仿宋" w:eastAsia="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移动学习系统</w:t>
            </w:r>
          </w:p>
        </w:tc>
        <w:tc>
          <w:tcPr>
            <w:tcW w:w="2054" w:type="dxa"/>
            <w:vAlign w:val="center"/>
          </w:tcPr>
          <w:p>
            <w:pPr>
              <w:jc w:val="center"/>
              <w:rPr>
                <w:rFonts w:ascii="仿宋" w:hAnsi="仿宋" w:eastAsia="仿宋"/>
                <w:szCs w:val="21"/>
              </w:rPr>
            </w:pPr>
            <w:r>
              <w:rPr>
                <w:rFonts w:hint="eastAsia" w:ascii="仿宋" w:hAnsi="仿宋" w:eastAsia="仿宋"/>
                <w:szCs w:val="21"/>
              </w:rPr>
              <w:t>1</w:t>
            </w:r>
          </w:p>
        </w:tc>
        <w:tc>
          <w:tcPr>
            <w:tcW w:w="2056" w:type="dxa"/>
            <w:vAlign w:val="center"/>
          </w:tcPr>
          <w:p>
            <w:pPr>
              <w:jc w:val="center"/>
              <w:rPr>
                <w:rFonts w:ascii="仿宋" w:hAnsi="仿宋" w:eastAsia="仿宋"/>
                <w:szCs w:val="21"/>
              </w:rPr>
            </w:pPr>
            <w:r>
              <w:rPr>
                <w:rFonts w:hint="eastAsia" w:ascii="仿宋" w:hAnsi="仿宋" w:eastAsia="仿宋"/>
                <w:szCs w:val="21"/>
              </w:rPr>
              <w:t>15</w:t>
            </w:r>
          </w:p>
        </w:tc>
        <w:tc>
          <w:tcPr>
            <w:tcW w:w="2055" w:type="dxa"/>
            <w:vAlign w:val="center"/>
          </w:tcPr>
          <w:p>
            <w:pPr>
              <w:jc w:val="center"/>
              <w:rPr>
                <w:rFonts w:ascii="仿宋" w:hAnsi="仿宋" w:eastAsia="仿宋"/>
                <w:szCs w:val="21"/>
              </w:rPr>
            </w:pPr>
            <w:r>
              <w:rPr>
                <w:rFonts w:hint="eastAsia" w:ascii="仿宋" w:hAnsi="仿宋" w:eastAsia="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jc w:val="center"/>
              <w:rPr>
                <w:rFonts w:ascii="仿宋" w:hAnsi="仿宋" w:eastAsia="仿宋"/>
                <w:szCs w:val="21"/>
              </w:rPr>
            </w:pPr>
            <w:r>
              <w:rPr>
                <w:rFonts w:hint="eastAsia" w:ascii="仿宋" w:hAnsi="仿宋" w:eastAsia="仿宋"/>
                <w:szCs w:val="21"/>
              </w:rPr>
              <w:t>配套的专题培训</w:t>
            </w:r>
          </w:p>
        </w:tc>
        <w:tc>
          <w:tcPr>
            <w:tcW w:w="2054" w:type="dxa"/>
            <w:vAlign w:val="center"/>
          </w:tcPr>
          <w:p>
            <w:pPr>
              <w:jc w:val="center"/>
              <w:rPr>
                <w:rFonts w:ascii="仿宋" w:hAnsi="仿宋" w:eastAsia="仿宋"/>
                <w:szCs w:val="21"/>
              </w:rPr>
            </w:pPr>
            <w:r>
              <w:rPr>
                <w:rFonts w:hint="eastAsia" w:ascii="仿宋" w:hAnsi="仿宋" w:eastAsia="仿宋"/>
                <w:szCs w:val="21"/>
              </w:rPr>
              <w:t>1</w:t>
            </w:r>
          </w:p>
        </w:tc>
        <w:tc>
          <w:tcPr>
            <w:tcW w:w="2056" w:type="dxa"/>
            <w:vAlign w:val="center"/>
          </w:tcPr>
          <w:p>
            <w:pPr>
              <w:jc w:val="center"/>
              <w:rPr>
                <w:rFonts w:ascii="仿宋" w:hAnsi="仿宋" w:eastAsia="仿宋"/>
                <w:szCs w:val="21"/>
              </w:rPr>
            </w:pPr>
            <w:r>
              <w:rPr>
                <w:rFonts w:hint="eastAsia" w:ascii="仿宋" w:hAnsi="仿宋" w:eastAsia="仿宋"/>
                <w:szCs w:val="21"/>
              </w:rPr>
              <w:t>11.5</w:t>
            </w:r>
          </w:p>
        </w:tc>
        <w:tc>
          <w:tcPr>
            <w:tcW w:w="2055" w:type="dxa"/>
            <w:vAlign w:val="center"/>
          </w:tcPr>
          <w:p>
            <w:pPr>
              <w:jc w:val="center"/>
              <w:rPr>
                <w:rFonts w:ascii="仿宋" w:hAnsi="仿宋" w:eastAsia="仿宋"/>
                <w:szCs w:val="21"/>
              </w:rPr>
            </w:pPr>
            <w:r>
              <w:rPr>
                <w:rFonts w:hint="eastAsia" w:ascii="仿宋" w:hAnsi="仿宋" w:eastAsia="仿宋"/>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vAlign w:val="center"/>
          </w:tcPr>
          <w:p>
            <w:pPr>
              <w:ind w:firstLine="420" w:firstLineChars="200"/>
              <w:rPr>
                <w:rFonts w:ascii="仿宋" w:hAnsi="仿宋" w:eastAsia="仿宋"/>
                <w:szCs w:val="21"/>
              </w:rPr>
            </w:pPr>
            <w:r>
              <w:rPr>
                <w:rFonts w:hint="eastAsia" w:ascii="仿宋" w:hAnsi="仿宋" w:eastAsia="仿宋"/>
                <w:szCs w:val="21"/>
              </w:rPr>
              <w:t>合计</w:t>
            </w:r>
          </w:p>
        </w:tc>
        <w:tc>
          <w:tcPr>
            <w:tcW w:w="2054" w:type="dxa"/>
            <w:vAlign w:val="center"/>
          </w:tcPr>
          <w:p>
            <w:pPr>
              <w:jc w:val="center"/>
              <w:rPr>
                <w:rFonts w:ascii="仿宋" w:hAnsi="仿宋" w:eastAsia="仿宋"/>
                <w:szCs w:val="21"/>
              </w:rPr>
            </w:pPr>
          </w:p>
        </w:tc>
        <w:tc>
          <w:tcPr>
            <w:tcW w:w="2056" w:type="dxa"/>
            <w:vAlign w:val="center"/>
          </w:tcPr>
          <w:p>
            <w:pPr>
              <w:jc w:val="center"/>
              <w:rPr>
                <w:rFonts w:ascii="仿宋" w:hAnsi="仿宋" w:eastAsia="仿宋"/>
                <w:szCs w:val="21"/>
              </w:rPr>
            </w:pPr>
          </w:p>
        </w:tc>
        <w:tc>
          <w:tcPr>
            <w:tcW w:w="2055" w:type="dxa"/>
            <w:vAlign w:val="center"/>
          </w:tcPr>
          <w:p>
            <w:pPr>
              <w:jc w:val="center"/>
              <w:rPr>
                <w:rFonts w:ascii="仿宋" w:hAnsi="仿宋" w:eastAsia="仿宋"/>
                <w:szCs w:val="21"/>
              </w:rPr>
            </w:pPr>
            <w:r>
              <w:rPr>
                <w:rFonts w:hint="eastAsia" w:ascii="仿宋" w:hAnsi="仿宋" w:eastAsia="仿宋"/>
                <w:szCs w:val="21"/>
              </w:rPr>
              <w:t>123</w:t>
            </w:r>
          </w:p>
        </w:tc>
      </w:tr>
    </w:tbl>
    <w:p>
      <w:pPr>
        <w:spacing w:line="360" w:lineRule="auto"/>
        <w:rPr>
          <w:rFonts w:ascii="仿宋" w:hAnsi="仿宋" w:eastAsia="仿宋" w:cs="宋体"/>
          <w:b/>
          <w:bCs/>
          <w:sz w:val="28"/>
          <w:szCs w:val="28"/>
        </w:rPr>
      </w:pPr>
    </w:p>
    <w:p>
      <w:pPr>
        <w:numPr>
          <w:ilvl w:val="0"/>
          <w:numId w:val="4"/>
        </w:num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人员培训</w:t>
      </w:r>
    </w:p>
    <w:p>
      <w:pPr>
        <w:numPr>
          <w:ilvl w:val="0"/>
          <w:numId w:val="5"/>
        </w:num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校外教育骨干教师培训：</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聚焦上海育综合改革，进一步加强校外教育师资队伍建设与专业化培训，全面覆盖与分层分类结合，理论水平与实践能力并重，逐步提升校外教育师资队伍的科学人文素养和专业能力，形成一支师德高尚、结构合理、专业扎实、掌握科学教育方法和熟悉未成年人特点的校外师资队伍。2017年度校外教育骨干培训1592人次天，费用支出总金额52.1万元。</w:t>
      </w:r>
    </w:p>
    <w:p>
      <w:pPr>
        <w:spacing w:line="56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具体执行情况如下：</w:t>
      </w:r>
    </w:p>
    <w:p>
      <w:pPr>
        <w:spacing w:line="560" w:lineRule="exact"/>
        <w:rPr>
          <w:rFonts w:ascii="仿宋" w:hAnsi="仿宋" w:eastAsia="仿宋" w:cs="仿宋"/>
          <w:color w:val="000000" w:themeColor="text1"/>
          <w:sz w:val="28"/>
          <w:szCs w:val="28"/>
          <w14:textFill>
            <w14:solidFill>
              <w14:schemeClr w14:val="tx1"/>
            </w14:solidFill>
          </w14:textFill>
        </w:rPr>
      </w:pPr>
    </w:p>
    <w:tbl>
      <w:tblPr>
        <w:tblStyle w:val="6"/>
        <w:tblW w:w="9364" w:type="dxa"/>
        <w:tblInd w:w="0" w:type="dxa"/>
        <w:tblLayout w:type="fixed"/>
        <w:tblCellMar>
          <w:top w:w="15" w:type="dxa"/>
          <w:left w:w="15" w:type="dxa"/>
          <w:bottom w:w="15" w:type="dxa"/>
          <w:right w:w="15" w:type="dxa"/>
        </w:tblCellMar>
      </w:tblPr>
      <w:tblGrid>
        <w:gridCol w:w="3559"/>
        <w:gridCol w:w="1513"/>
        <w:gridCol w:w="979"/>
        <w:gridCol w:w="837"/>
        <w:gridCol w:w="1473"/>
        <w:gridCol w:w="1003"/>
      </w:tblGrid>
      <w:tr>
        <w:tblPrEx>
          <w:tblLayout w:type="fixed"/>
          <w:tblCellMar>
            <w:top w:w="15" w:type="dxa"/>
            <w:left w:w="15" w:type="dxa"/>
            <w:bottom w:w="15" w:type="dxa"/>
            <w:right w:w="15"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r>
              <w:rPr>
                <w:rFonts w:hint="eastAsia" w:ascii="仿宋" w:hAnsi="仿宋" w:eastAsia="仿宋" w:cs="宋体"/>
                <w:color w:val="000000"/>
                <w:szCs w:val="21"/>
              </w:rPr>
              <w:t>项目名称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时间</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成本</w:t>
            </w:r>
          </w:p>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（万元）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期数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Cs w:val="21"/>
              </w:rPr>
            </w:pPr>
            <w:r>
              <w:rPr>
                <w:rFonts w:hint="eastAsia" w:ascii="仿宋" w:hAnsi="仿宋" w:eastAsia="仿宋" w:cs="宋体"/>
                <w:color w:val="000000"/>
                <w:kern w:val="0"/>
                <w:szCs w:val="21"/>
                <w:lang w:bidi="ar"/>
              </w:rPr>
              <w:t>参与人次天</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r>
              <w:rPr>
                <w:rFonts w:hint="eastAsia" w:ascii="仿宋" w:hAnsi="仿宋" w:eastAsia="仿宋" w:cs="宋体"/>
                <w:color w:val="000000"/>
                <w:szCs w:val="21"/>
              </w:rPr>
              <w:t>出席率</w:t>
            </w:r>
          </w:p>
        </w:tc>
      </w:tr>
      <w:tr>
        <w:tblPrEx>
          <w:tblLayout w:type="fixed"/>
          <w:tblCellMar>
            <w:top w:w="15" w:type="dxa"/>
            <w:left w:w="15" w:type="dxa"/>
            <w:bottom w:w="15" w:type="dxa"/>
            <w:right w:w="15"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上海市校外教育协会艺术骨干教师培训 </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10/12、10/18-21</w:t>
            </w:r>
          </w:p>
          <w:p>
            <w:pPr>
              <w:widowControl/>
              <w:jc w:val="left"/>
              <w:textAlignment w:val="bottom"/>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10/19、10/26</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13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680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 xml:space="preserve">营地教职工教育、教学能力提升培训 </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11/10-12</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19.8</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552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szCs w:val="21"/>
              </w:rPr>
            </w:pPr>
            <w:r>
              <w:rPr>
                <w:rFonts w:hint="eastAsia" w:ascii="仿宋" w:hAnsi="仿宋" w:eastAsia="仿宋" w:cs="宋体"/>
                <w:color w:val="000000"/>
                <w:kern w:val="0"/>
                <w:szCs w:val="21"/>
                <w:lang w:bidi="ar"/>
              </w:rPr>
              <w:t>国防教育理论培训费（北京）</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1/8-11</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19.3</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360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s="宋体"/>
                <w:color w:val="000000"/>
                <w:szCs w:val="21"/>
              </w:rPr>
              <w:t>100%</w:t>
            </w:r>
          </w:p>
        </w:tc>
      </w:tr>
      <w:tr>
        <w:tblPrEx>
          <w:tblLayout w:type="fixed"/>
          <w:tblCellMar>
            <w:top w:w="15" w:type="dxa"/>
            <w:left w:w="15" w:type="dxa"/>
            <w:bottom w:w="15" w:type="dxa"/>
            <w:right w:w="15" w:type="dxa"/>
          </w:tblCellMar>
        </w:tblPrEx>
        <w:trPr>
          <w:trHeight w:val="285" w:hRule="atLeast"/>
        </w:trPr>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color w:val="000000"/>
                <w:szCs w:val="21"/>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仿宋" w:hAnsi="仿宋" w:eastAsia="仿宋" w:cs="宋体"/>
                <w:color w:val="000000"/>
                <w:kern w:val="0"/>
                <w:szCs w:val="21"/>
                <w:lang w:bidi="ar"/>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仿宋" w:hAnsi="仿宋" w:eastAsia="仿宋" w:cs="宋体"/>
                <w:color w:val="000000"/>
                <w:szCs w:val="21"/>
              </w:rPr>
            </w:pPr>
            <w:r>
              <w:rPr>
                <w:rFonts w:hint="eastAsia" w:ascii="仿宋" w:hAnsi="仿宋" w:eastAsia="仿宋" w:cs="宋体"/>
                <w:color w:val="000000"/>
                <w:kern w:val="0"/>
                <w:szCs w:val="21"/>
                <w:lang w:bidi="ar"/>
              </w:rPr>
              <w:t>52.1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6</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1592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Cs w:val="21"/>
              </w:rPr>
            </w:pPr>
          </w:p>
        </w:tc>
      </w:tr>
    </w:tbl>
    <w:p>
      <w:pPr>
        <w:spacing w:line="360" w:lineRule="auto"/>
        <w:rPr>
          <w:rFonts w:ascii="仿宋" w:hAnsi="仿宋" w:eastAsia="仿宋" w:cs="宋体"/>
          <w:sz w:val="28"/>
          <w:szCs w:val="28"/>
        </w:rPr>
      </w:pPr>
    </w:p>
    <w:p>
      <w:pPr>
        <w:numPr>
          <w:ilvl w:val="0"/>
          <w:numId w:val="5"/>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安全教育专业教师团队及运营管理团队专业培训：</w:t>
      </w:r>
    </w:p>
    <w:p>
      <w:pPr>
        <w:spacing w:line="360" w:lineRule="auto"/>
        <w:ind w:firstLine="840" w:firstLineChars="300"/>
        <w:rPr>
          <w:rFonts w:ascii="仿宋" w:hAnsi="仿宋" w:eastAsia="仿宋" w:cs="宋体"/>
          <w:sz w:val="28"/>
          <w:szCs w:val="28"/>
        </w:rPr>
      </w:pPr>
      <w:r>
        <w:rPr>
          <w:rFonts w:hint="eastAsia" w:ascii="仿宋" w:hAnsi="仿宋" w:eastAsia="仿宋" w:cs="宋体"/>
          <w:sz w:val="28"/>
          <w:szCs w:val="28"/>
        </w:rPr>
        <w:t>原定的260人次天的培训因实训馆尚未完全建成运营，使得实操性专业化培训未能实施。拟在场馆投入运营后于2018年5-6月执行。</w:t>
      </w:r>
    </w:p>
    <w:p>
      <w:pPr>
        <w:spacing w:line="360" w:lineRule="auto"/>
        <w:ind w:firstLine="840" w:firstLineChars="300"/>
        <w:rPr>
          <w:rFonts w:ascii="仿宋" w:hAnsi="仿宋" w:eastAsia="仿宋" w:cs="宋体"/>
          <w:sz w:val="28"/>
          <w:szCs w:val="28"/>
        </w:rPr>
      </w:pPr>
    </w:p>
    <w:p>
      <w:pPr>
        <w:numPr>
          <w:ilvl w:val="0"/>
          <w:numId w:val="6"/>
        </w:num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改扩建项目：</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1）公共安全教育智慧实训全过程管理系统项目</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该部分是支撑本项目运行的硬件设备及网络环境，主要包含有网络设备、安全设备、服务器及机柜、RFID电子标签、RFID读卡器、自助服务设备、摄像监控系统、电视墙等多类产品，总计金额为506.9万元人民币。目前本项目已完成了36项主要设备和产品的定制、采购和安装，完成设备金额 469.9万元人民币。具体清单如下：</w:t>
      </w:r>
    </w:p>
    <w:tbl>
      <w:tblPr>
        <w:tblStyle w:val="6"/>
        <w:tblW w:w="9782" w:type="dxa"/>
        <w:tblInd w:w="108" w:type="dxa"/>
        <w:tblLayout w:type="fixed"/>
        <w:tblCellMar>
          <w:top w:w="0" w:type="dxa"/>
          <w:left w:w="108" w:type="dxa"/>
          <w:bottom w:w="0" w:type="dxa"/>
          <w:right w:w="108" w:type="dxa"/>
        </w:tblCellMar>
      </w:tblPr>
      <w:tblGrid>
        <w:gridCol w:w="1056"/>
        <w:gridCol w:w="1921"/>
        <w:gridCol w:w="3544"/>
        <w:gridCol w:w="1300"/>
        <w:gridCol w:w="796"/>
        <w:gridCol w:w="1165"/>
      </w:tblGrid>
      <w:tr>
        <w:tblPrEx>
          <w:tblLayout w:type="fixed"/>
          <w:tblCellMar>
            <w:top w:w="0" w:type="dxa"/>
            <w:left w:w="108" w:type="dxa"/>
            <w:bottom w:w="0" w:type="dxa"/>
            <w:right w:w="108" w:type="dxa"/>
          </w:tblCellMar>
        </w:tblPrEx>
        <w:trPr>
          <w:trHeight w:val="431" w:hRule="atLeast"/>
        </w:trPr>
        <w:tc>
          <w:tcPr>
            <w:tcW w:w="1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序号</w:t>
            </w:r>
          </w:p>
        </w:tc>
        <w:tc>
          <w:tcPr>
            <w:tcW w:w="19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货物名称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厂家、品牌及规格型号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单价</w:t>
            </w:r>
          </w:p>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（万元）</w:t>
            </w:r>
          </w:p>
        </w:tc>
        <w:tc>
          <w:tcPr>
            <w:tcW w:w="7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数量</w:t>
            </w:r>
          </w:p>
        </w:tc>
        <w:tc>
          <w:tcPr>
            <w:tcW w:w="11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总价</w:t>
            </w:r>
          </w:p>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（万元）</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操作系统</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Windows Server 2016R2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0.4</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数据库</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SQL Server 2016</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防火墙</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NS-SecPath F1060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9</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PC</w:t>
            </w:r>
            <w:r>
              <w:rPr>
                <w:rFonts w:hint="eastAsia" w:ascii="仿宋" w:hAnsi="仿宋" w:eastAsia="仿宋" w:cs="Times New Roman"/>
                <w:color w:val="000000"/>
                <w:kern w:val="0"/>
                <w:szCs w:val="21"/>
              </w:rPr>
              <w:t>服务器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DELL PowerEdge R730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45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13</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PC</w:t>
            </w:r>
            <w:r>
              <w:rPr>
                <w:rFonts w:hint="eastAsia" w:ascii="仿宋" w:hAnsi="仿宋" w:eastAsia="仿宋" w:cs="Times New Roman"/>
                <w:color w:val="000000"/>
                <w:kern w:val="0"/>
                <w:szCs w:val="21"/>
              </w:rPr>
              <w:t>服务器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DELL PowerEdge R730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15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8</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3</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电子标签</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孚恩电子</w:t>
            </w:r>
            <w:r>
              <w:rPr>
                <w:rFonts w:ascii="仿宋" w:hAnsi="仿宋" w:eastAsia="仿宋" w:cs="Times New Roman"/>
                <w:color w:val="000000"/>
                <w:kern w:val="0"/>
                <w:szCs w:val="21"/>
              </w:rPr>
              <w:t xml:space="preserve"> </w:t>
            </w:r>
            <w:r>
              <w:rPr>
                <w:rFonts w:hint="eastAsia" w:ascii="仿宋" w:hAnsi="仿宋" w:eastAsia="仿宋" w:cs="Times New Roman"/>
                <w:color w:val="000000"/>
                <w:kern w:val="0"/>
                <w:szCs w:val="21"/>
              </w:rPr>
              <w:t>定制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0.00</w:t>
            </w:r>
            <w:r>
              <w:rPr>
                <w:rFonts w:ascii="仿宋" w:hAnsi="仿宋" w:eastAsia="仿宋" w:cs="Times New Roman"/>
                <w:color w:val="000000"/>
                <w:kern w:val="0"/>
                <w:szCs w:val="21"/>
              </w:rPr>
              <w:t>2</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1000</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7</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自助服务终端机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孚恩电子</w:t>
            </w:r>
            <w:r>
              <w:rPr>
                <w:rFonts w:ascii="仿宋" w:hAnsi="仿宋" w:eastAsia="仿宋" w:cs="Times New Roman"/>
                <w:color w:val="000000"/>
                <w:kern w:val="0"/>
                <w:szCs w:val="21"/>
              </w:rPr>
              <w:t xml:space="preserve"> </w:t>
            </w:r>
            <w:r>
              <w:rPr>
                <w:rFonts w:hint="eastAsia" w:ascii="仿宋" w:hAnsi="仿宋" w:eastAsia="仿宋" w:cs="Times New Roman"/>
                <w:color w:val="000000"/>
                <w:kern w:val="0"/>
                <w:szCs w:val="21"/>
              </w:rPr>
              <w:t>定制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60</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159</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8</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PC</w:t>
            </w:r>
            <w:r>
              <w:rPr>
                <w:rFonts w:hint="eastAsia" w:ascii="仿宋" w:hAnsi="仿宋" w:eastAsia="仿宋" w:cs="Times New Roman"/>
                <w:color w:val="000000"/>
                <w:kern w:val="0"/>
                <w:szCs w:val="21"/>
              </w:rPr>
              <w:t>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DELL OptiPlex 5050 Tower 001838</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56</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60</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33</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9</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门禁系统改造感应设备</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大漠电子定制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2</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10</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RFID</w:t>
            </w:r>
            <w:r>
              <w:rPr>
                <w:rFonts w:hint="eastAsia" w:ascii="仿宋" w:hAnsi="仿宋" w:eastAsia="仿宋" w:cs="Times New Roman"/>
                <w:color w:val="000000"/>
                <w:kern w:val="0"/>
                <w:szCs w:val="21"/>
              </w:rPr>
              <w:t>标签固定读写设备</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孚恩电子</w:t>
            </w:r>
            <w:r>
              <w:rPr>
                <w:rFonts w:ascii="仿宋" w:hAnsi="仿宋" w:eastAsia="仿宋" w:cs="Times New Roman"/>
                <w:color w:val="000000"/>
                <w:kern w:val="0"/>
                <w:szCs w:val="21"/>
              </w:rPr>
              <w:t xml:space="preserve"> </w:t>
            </w:r>
            <w:r>
              <w:rPr>
                <w:rFonts w:hint="eastAsia" w:ascii="仿宋" w:hAnsi="仿宋" w:eastAsia="仿宋" w:cs="Times New Roman"/>
                <w:color w:val="000000"/>
                <w:kern w:val="0"/>
                <w:szCs w:val="21"/>
              </w:rPr>
              <w:t>定制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15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555</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83</w:t>
            </w:r>
            <w:r>
              <w:rPr>
                <w:rFonts w:hint="eastAsia" w:ascii="仿宋" w:hAnsi="仿宋" w:eastAsia="仿宋" w:cs="Times New Roman"/>
                <w:color w:val="000000"/>
                <w:kern w:val="0"/>
                <w:szCs w:val="21"/>
              </w:rPr>
              <w:t>.3</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11</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摄象机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DS-2CD5A26FWD-IZ(2.8-12mm)</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1</w:t>
            </w:r>
            <w:r>
              <w:rPr>
                <w:rFonts w:hint="eastAsia" w:ascii="仿宋" w:hAnsi="仿宋" w:eastAsia="仿宋" w:cs="Times New Roman"/>
                <w:color w:val="000000"/>
                <w:kern w:val="0"/>
                <w:szCs w:val="21"/>
              </w:rPr>
              <w:t>7</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123</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r>
              <w:rPr>
                <w:rFonts w:hint="eastAsia" w:ascii="仿宋" w:hAnsi="仿宋" w:eastAsia="仿宋" w:cs="Times New Roman"/>
                <w:color w:val="000000"/>
                <w:kern w:val="0"/>
                <w:szCs w:val="21"/>
              </w:rPr>
              <w:t>.3</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12</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中控系统</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DELL OptiPlex 5050 Tower 001578</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45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9</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13</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工控机柜</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图腾网络机柜</w:t>
            </w:r>
            <w:r>
              <w:rPr>
                <w:rFonts w:ascii="仿宋" w:hAnsi="仿宋" w:eastAsia="仿宋" w:cs="Times New Roman"/>
                <w:color w:val="000000"/>
                <w:kern w:val="0"/>
                <w:szCs w:val="21"/>
              </w:rPr>
              <w:t>g26642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18</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18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14</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显示器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DS-D5022FL</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3</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15</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解码器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DS-6908UD</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5</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16</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视频存储</w:t>
            </w:r>
            <w:r>
              <w:rPr>
                <w:rFonts w:ascii="仿宋" w:hAnsi="仿宋" w:eastAsia="仿宋" w:cs="Times New Roman"/>
                <w:color w:val="000000"/>
                <w:kern w:val="0"/>
                <w:szCs w:val="21"/>
              </w:rPr>
              <w:t>NVR</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DS-A72024R</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1</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9</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3</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17</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监控级专用硬盘</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海康监控级专用硬盘</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13</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72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9</w:t>
            </w: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18</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管理服务器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DS-VR2208C-BBC</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38</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r>
              <w:rPr>
                <w:rFonts w:hint="eastAsia"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19</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流媒体服务器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DS-A72024R</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1</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1</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20</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平台服务器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DS-6908UD</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21</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解码器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DS-B20-16HU</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7</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8</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37</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22</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电视墙</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海康定制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3</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3</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23</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电视墙监视器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海康</w:t>
            </w:r>
            <w:r>
              <w:rPr>
                <w:rFonts w:ascii="仿宋" w:hAnsi="仿宋" w:eastAsia="仿宋" w:cs="Times New Roman"/>
                <w:color w:val="000000"/>
                <w:kern w:val="0"/>
                <w:szCs w:val="21"/>
              </w:rPr>
              <w:t>DS-D2055NH-B</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6</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8</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12</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24</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光纤收发器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 xml:space="preserve">H3C SFP-GE-SX-MM850-A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1</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10</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25</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安防操作台</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定制</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3</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9</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26</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不间断电源</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APC SP20KL-31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75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27</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工控机柜</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图腾服务器机柜</w:t>
            </w:r>
            <w:r>
              <w:rPr>
                <w:rFonts w:ascii="仿宋" w:hAnsi="仿宋" w:eastAsia="仿宋" w:cs="Times New Roman"/>
                <w:color w:val="000000"/>
                <w:kern w:val="0"/>
                <w:szCs w:val="21"/>
              </w:rPr>
              <w:t>g26042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26</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0.5</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28</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无线</w:t>
            </w:r>
            <w:r>
              <w:rPr>
                <w:rFonts w:ascii="仿宋" w:hAnsi="仿宋" w:eastAsia="仿宋" w:cs="Times New Roman"/>
                <w:color w:val="000000"/>
                <w:kern w:val="0"/>
                <w:szCs w:val="21"/>
              </w:rPr>
              <w:t>AP</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EWP-WA5320-FIT</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2</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39</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7</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29</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无线控制器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EWP-WX2560H</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75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5</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30</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AP</w:t>
            </w:r>
            <w:r>
              <w:rPr>
                <w:rFonts w:hint="eastAsia" w:ascii="仿宋" w:hAnsi="仿宋" w:eastAsia="仿宋" w:cs="Times New Roman"/>
                <w:color w:val="000000"/>
                <w:kern w:val="0"/>
                <w:szCs w:val="21"/>
              </w:rPr>
              <w:t>授权</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LIS-WX-32-BE</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6</w:t>
            </w:r>
            <w:r>
              <w:rPr>
                <w:rFonts w:hint="eastAsia" w:ascii="仿宋" w:hAnsi="仿宋" w:eastAsia="仿宋" w:cs="Times New Roman"/>
                <w:color w:val="000000"/>
                <w:kern w:val="0"/>
                <w:szCs w:val="21"/>
              </w:rPr>
              <w:t>9</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6</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r>
              <w:rPr>
                <w:rFonts w:hint="eastAsia" w:ascii="仿宋" w:hAnsi="仿宋" w:eastAsia="仿宋" w:cs="Times New Roman"/>
                <w:color w:val="000000"/>
                <w:kern w:val="0"/>
                <w:szCs w:val="21"/>
              </w:rPr>
              <w:t>.1</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31</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POE</w:t>
            </w:r>
            <w:r>
              <w:rPr>
                <w:rFonts w:hint="eastAsia" w:ascii="仿宋" w:hAnsi="仿宋" w:eastAsia="仿宋" w:cs="Times New Roman"/>
                <w:color w:val="000000"/>
                <w:kern w:val="0"/>
                <w:szCs w:val="21"/>
              </w:rPr>
              <w:t>交换机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LS-3100V3-28TP-PWR-EI</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35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32</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核心交换机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LS-7503E-M</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95</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9</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9</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33</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24</w:t>
            </w:r>
            <w:r>
              <w:rPr>
                <w:rFonts w:hint="eastAsia" w:ascii="仿宋" w:hAnsi="仿宋" w:eastAsia="仿宋" w:cs="Times New Roman"/>
                <w:color w:val="000000"/>
                <w:kern w:val="0"/>
                <w:szCs w:val="21"/>
              </w:rPr>
              <w:t>口交换机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LS-S5110-28P</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37</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5</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.9</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34</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HUB</w:t>
            </w:r>
            <w:r>
              <w:rPr>
                <w:rFonts w:hint="eastAsia" w:ascii="仿宋" w:hAnsi="仿宋" w:eastAsia="仿宋" w:cs="Times New Roman"/>
                <w:color w:val="000000"/>
                <w:kern w:val="0"/>
                <w:szCs w:val="21"/>
              </w:rPr>
              <w:t>交换机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LS-5130S-52P-EI</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6</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2</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4</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35</w:t>
            </w:r>
          </w:p>
        </w:tc>
        <w:tc>
          <w:tcPr>
            <w:tcW w:w="1921"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Times New Roman"/>
                <w:color w:val="000000"/>
                <w:kern w:val="0"/>
                <w:szCs w:val="21"/>
              </w:rPr>
            </w:pPr>
            <w:r>
              <w:rPr>
                <w:rFonts w:hint="eastAsia" w:ascii="仿宋" w:hAnsi="仿宋" w:eastAsia="仿宋" w:cs="Times New Roman"/>
                <w:color w:val="000000"/>
                <w:kern w:val="0"/>
                <w:szCs w:val="21"/>
              </w:rPr>
              <w:t>核心交换机</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LS-5560-54C-EI</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r>
              <w:rPr>
                <w:rFonts w:hint="eastAsia" w:ascii="仿宋" w:hAnsi="仿宋" w:eastAsia="仿宋" w:cs="Times New Roman"/>
                <w:color w:val="000000"/>
                <w:kern w:val="0"/>
                <w:szCs w:val="21"/>
              </w:rPr>
              <w:t>.</w:t>
            </w:r>
            <w:r>
              <w:rPr>
                <w:rFonts w:ascii="仿宋" w:hAnsi="仿宋" w:eastAsia="仿宋" w:cs="Times New Roman"/>
                <w:color w:val="000000"/>
                <w:kern w:val="0"/>
                <w:szCs w:val="21"/>
              </w:rPr>
              <w:t>8</w:t>
            </w:r>
          </w:p>
        </w:tc>
      </w:tr>
      <w:tr>
        <w:tblPrEx>
          <w:tblLayout w:type="fixed"/>
          <w:tblCellMar>
            <w:top w:w="0" w:type="dxa"/>
            <w:left w:w="108" w:type="dxa"/>
            <w:bottom w:w="0" w:type="dxa"/>
            <w:right w:w="108" w:type="dxa"/>
          </w:tblCellMar>
        </w:tblPrEx>
        <w:trPr>
          <w:trHeight w:val="431" w:hRule="atLeast"/>
        </w:trPr>
        <w:tc>
          <w:tcPr>
            <w:tcW w:w="10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36</w:t>
            </w:r>
          </w:p>
        </w:tc>
        <w:tc>
          <w:tcPr>
            <w:tcW w:w="192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hint="eastAsia" w:ascii="仿宋" w:hAnsi="仿宋" w:eastAsia="仿宋" w:cs="Times New Roman"/>
                <w:color w:val="000000"/>
                <w:kern w:val="0"/>
                <w:szCs w:val="21"/>
              </w:rPr>
              <w:t>网络安全路由器</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Times New Roman"/>
                <w:color w:val="000000"/>
                <w:kern w:val="0"/>
                <w:szCs w:val="21"/>
              </w:rPr>
            </w:pPr>
            <w:r>
              <w:rPr>
                <w:rFonts w:ascii="仿宋" w:hAnsi="仿宋" w:eastAsia="仿宋" w:cs="Times New Roman"/>
                <w:color w:val="000000"/>
                <w:kern w:val="0"/>
                <w:szCs w:val="21"/>
              </w:rPr>
              <w:t>H3C MSR 36-20</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7</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1</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r>
              <w:rPr>
                <w:rFonts w:ascii="仿宋" w:hAnsi="仿宋" w:eastAsia="仿宋" w:cs="Times New Roman"/>
                <w:color w:val="000000"/>
                <w:kern w:val="0"/>
                <w:szCs w:val="21"/>
              </w:rPr>
              <w:t>7</w:t>
            </w:r>
          </w:p>
        </w:tc>
      </w:tr>
      <w:tr>
        <w:tblPrEx>
          <w:tblLayout w:type="fixed"/>
          <w:tblCellMar>
            <w:top w:w="0" w:type="dxa"/>
            <w:left w:w="108" w:type="dxa"/>
            <w:bottom w:w="0" w:type="dxa"/>
            <w:right w:w="108" w:type="dxa"/>
          </w:tblCellMar>
        </w:tblPrEx>
        <w:trPr>
          <w:trHeight w:val="431" w:hRule="atLeast"/>
        </w:trPr>
        <w:tc>
          <w:tcPr>
            <w:tcW w:w="8617" w:type="dxa"/>
            <w:gridSpan w:val="5"/>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 w:hAnsi="仿宋" w:eastAsia="仿宋" w:cs="Times New Roman"/>
                <w:color w:val="000000"/>
                <w:kern w:val="0"/>
                <w:szCs w:val="21"/>
              </w:rPr>
            </w:pPr>
            <w:r>
              <w:rPr>
                <w:rFonts w:hint="eastAsia" w:ascii="仿宋" w:hAnsi="仿宋" w:eastAsia="仿宋" w:cs="Times New Roman"/>
                <w:color w:val="000000"/>
                <w:kern w:val="0"/>
                <w:szCs w:val="21"/>
              </w:rPr>
              <w:t>合计：</w:t>
            </w:r>
          </w:p>
        </w:tc>
        <w:tc>
          <w:tcPr>
            <w:tcW w:w="11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Cs w:val="21"/>
              </w:rPr>
            </w:pPr>
            <w:r>
              <w:rPr>
                <w:rFonts w:ascii="仿宋" w:hAnsi="仿宋" w:eastAsia="仿宋" w:cs="Times New Roman"/>
                <w:color w:val="000000"/>
                <w:kern w:val="0"/>
                <w:szCs w:val="21"/>
              </w:rPr>
              <w:t>469</w:t>
            </w:r>
            <w:r>
              <w:rPr>
                <w:rFonts w:hint="eastAsia" w:ascii="仿宋" w:hAnsi="仿宋" w:eastAsia="仿宋" w:cs="Times New Roman"/>
                <w:color w:val="000000"/>
                <w:kern w:val="0"/>
                <w:szCs w:val="21"/>
              </w:rPr>
              <w:t>.9</w:t>
            </w:r>
          </w:p>
        </w:tc>
      </w:tr>
    </w:tbl>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本项目包含系统集成费30.4万元人民币，截止目前为止，本项目已经完成了主要设备的安装调试、软硬件的集成工作，完成金额23.8万元。</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2）云数据实训课程中心项目</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该项目共计更新硬件总数为6套，包含5套华为RH2288V3服务器，1套华为全闪存存储，硬件总金额为77万元人民币。</w:t>
      </w:r>
    </w:p>
    <w:p>
      <w:pPr>
        <w:numPr>
          <w:ilvl w:val="0"/>
          <w:numId w:val="7"/>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信息化网络资源建设项目：</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信息化网络资源建设项目通过公开招投标，于2018年1月完成项目招标，中标价116.3万元，并随即开展项目实施工作。到目前为止，关于信息化网络资源建设项目的落地情况：项目共计专线网络资源费（1.5G）总金额为105.2万元人民币；设备（一台锐捷RG-EG3000GE网络设备）及维护服务费用：11.04万元。预计截止到2018年4月8日施工完毕，完成进度100%。</w:t>
      </w:r>
    </w:p>
    <w:p>
      <w:pPr>
        <w:spacing w:line="360" w:lineRule="auto"/>
        <w:ind w:firstLine="560" w:firstLineChars="200"/>
        <w:rPr>
          <w:rFonts w:ascii="仿宋" w:hAnsi="仿宋" w:eastAsia="仿宋" w:cs="宋体"/>
          <w:sz w:val="28"/>
          <w:szCs w:val="28"/>
        </w:rPr>
      </w:pPr>
    </w:p>
    <w:p>
      <w:pPr>
        <w:spacing w:line="360" w:lineRule="auto"/>
        <w:ind w:firstLine="585"/>
        <w:rPr>
          <w:rFonts w:ascii="仿宋" w:hAnsi="仿宋" w:eastAsia="仿宋" w:cs="宋体"/>
          <w:b/>
          <w:bCs/>
          <w:sz w:val="28"/>
          <w:szCs w:val="28"/>
        </w:rPr>
      </w:pPr>
      <w:r>
        <w:rPr>
          <w:rFonts w:hint="eastAsia" w:ascii="仿宋" w:hAnsi="仿宋" w:eastAsia="仿宋" w:cs="宋体"/>
          <w:b/>
          <w:bCs/>
          <w:sz w:val="28"/>
          <w:szCs w:val="28"/>
        </w:rPr>
        <w:t>质量指标</w:t>
      </w:r>
    </w:p>
    <w:p>
      <w:pPr>
        <w:tabs>
          <w:tab w:val="center" w:pos="4153"/>
          <w:tab w:val="right" w:pos="8306"/>
        </w:tabs>
        <w:spacing w:line="240" w:lineRule="atLeast"/>
        <w:rPr>
          <w:rFonts w:ascii="仿宋" w:hAnsi="仿宋" w:eastAsia="仿宋" w:cs="宋体"/>
          <w:sz w:val="28"/>
          <w:szCs w:val="28"/>
        </w:rPr>
      </w:pPr>
      <w:r>
        <w:rPr>
          <w:rFonts w:hint="eastAsia" w:ascii="仿宋" w:hAnsi="仿宋" w:eastAsia="仿宋" w:cs="宋体"/>
          <w:sz w:val="28"/>
          <w:szCs w:val="28"/>
          <w:highlight w:val="lightGray"/>
        </w:rPr>
        <w:t>1</w:t>
      </w:r>
      <w:r>
        <w:rPr>
          <w:rFonts w:hint="eastAsia" w:ascii="仿宋" w:hAnsi="仿宋" w:eastAsia="仿宋" w:cs="宋体"/>
          <w:sz w:val="28"/>
          <w:szCs w:val="28"/>
        </w:rPr>
        <w:t>.公益活动：</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6大类18个公益活动开展受众好评率（90%），推广学校不少于100所，并通过媒体广泛宣传学生获得感，助力学生的健康全面成长。</w:t>
      </w:r>
    </w:p>
    <w:p>
      <w:pPr>
        <w:tabs>
          <w:tab w:val="center" w:pos="4153"/>
          <w:tab w:val="right" w:pos="8306"/>
        </w:tabs>
        <w:spacing w:line="240" w:lineRule="atLeast"/>
        <w:rPr>
          <w:rFonts w:ascii="仿宋" w:hAnsi="仿宋" w:eastAsia="仿宋" w:cs="宋体"/>
          <w:sz w:val="28"/>
          <w:szCs w:val="28"/>
        </w:rPr>
      </w:pPr>
      <w:r>
        <w:rPr>
          <w:rFonts w:hint="eastAsia" w:ascii="仿宋" w:hAnsi="仿宋" w:eastAsia="仿宋" w:cs="宋体"/>
          <w:sz w:val="28"/>
          <w:szCs w:val="28"/>
        </w:rPr>
        <w:t>2.第二届全国中小学生电影周活动：</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 xml:space="preserve">评选出100部优秀原创作品，并在其中评选出20部最佳获奖作品。 </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依托上海戏剧学院、中福会儿童艺术剧院,将优质资源融入到学校教育教学之中，通过建立少儿戏剧教育工坊，免费为各区中小学教师开展微电影课程、课本剧创作、戏剧表演等培训，提高教师的教育能力。</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依托“历史学科德育与资源开发研究实训基地”和上海教育音像资料馆，开发形成了九大系列80个专题影视资料，供基层学校和教师在课堂教学中使用，丰富课堂教学形态。</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产生百部学生优质微电影、百优电影教育案例。</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入围的100部微电影在1905电影网上进行了为期一周的专题展播，平均每部影片的全国观看量都达到2万次以上。所有活动通过CCTV-6、中国教育电视台、1905电影网、上海教育电视台等进行播放，实现线上与线下、现场与远程的互动，覆盖率远超200万人次</w:t>
      </w:r>
    </w:p>
    <w:p>
      <w:pPr>
        <w:numPr>
          <w:ilvl w:val="0"/>
          <w:numId w:val="8"/>
        </w:num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资源开发：</w:t>
      </w:r>
    </w:p>
    <w:p>
      <w:pPr>
        <w:numPr>
          <w:ilvl w:val="0"/>
          <w:numId w:val="9"/>
        </w:num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开发学生研学旅行、生命与生存能力拓展教育、公共安全实训教育课3大系列共18门课程，每类课程各有6个主题模块，每个主题模块不少于3课时内容。并汇编教材3册，配套视频3个。通过课程开发，固化校内外教育衔接的活动课程样板，强化综和性、体验性、实践性。内容丰富、实用性强，开发成功后可应用人次50万/年。</w:t>
      </w:r>
    </w:p>
    <w:p>
      <w:pPr>
        <w:numPr>
          <w:ilvl w:val="0"/>
          <w:numId w:val="9"/>
        </w:num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公共安全教育软件资源包与课件开发，设计指标在场馆正式投入运营后可支持至少1000人次同时在线访问，系统可以全天候全年无间断响应每年有效课次不少于50万课次，使90%以上学生、85%以上运营主体和85%以上教学团队评价满意未完成。</w:t>
      </w:r>
    </w:p>
    <w:p>
      <w:pPr>
        <w:numPr>
          <w:ilvl w:val="0"/>
          <w:numId w:val="8"/>
        </w:num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人员培训：</w:t>
      </w:r>
    </w:p>
    <w:p>
      <w:pPr>
        <w:numPr>
          <w:ilvl w:val="0"/>
          <w:numId w:val="10"/>
        </w:num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组织开展校外教育骨干队伍培训，建立专家资源库工作启动，各校外机构加强横向联系，完善校外师资教科研管理制度，推进分层式培训计划启动，达到参与培训师资出席率（95%以上），培训成果合格率（95%以上）优秀率（30%以上）</w:t>
      </w:r>
    </w:p>
    <w:p>
      <w:pPr>
        <w:numPr>
          <w:ilvl w:val="0"/>
          <w:numId w:val="10"/>
        </w:num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安全交易员专业教师团队及运营管理团队专业培训，尚未实施。</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3）改扩建项目：</w:t>
      </w:r>
    </w:p>
    <w:p>
      <w:pPr>
        <w:tabs>
          <w:tab w:val="center" w:pos="4153"/>
          <w:tab w:val="right" w:pos="8306"/>
        </w:tabs>
        <w:spacing w:line="240" w:lineRule="atLeast"/>
        <w:ind w:firstLine="560" w:firstLineChars="200"/>
        <w:rPr>
          <w:rFonts w:ascii="仿宋" w:hAnsi="仿宋" w:eastAsia="仿宋" w:cs="宋体"/>
          <w:sz w:val="28"/>
          <w:szCs w:val="28"/>
        </w:rPr>
      </w:pPr>
      <w:r>
        <w:rPr>
          <w:rFonts w:hint="eastAsia" w:ascii="仿宋" w:hAnsi="仿宋" w:eastAsia="仿宋" w:cs="宋体"/>
          <w:sz w:val="28"/>
          <w:szCs w:val="28"/>
        </w:rPr>
        <w:t>满足上海市及全国中小学生公共安全实训课程的全过程智能化管理，包括智能化流程管理、智慧实训管理、实训过程采集、自助服务、课程评价与教学反馈、教学对象实训数据记录与共享四类设施设备2000余件。该系统支持至少1000人次同时在线访问，系统可以全年全天候无间断响应，每年有效实训学生人数不少于30-50万人次。线上线下辐射人群可超200万人次。</w:t>
      </w:r>
    </w:p>
    <w:p>
      <w:pPr>
        <w:tabs>
          <w:tab w:val="center" w:pos="4153"/>
          <w:tab w:val="right" w:pos="8306"/>
        </w:tabs>
        <w:spacing w:line="240" w:lineRule="atLeast"/>
        <w:ind w:firstLine="560" w:firstLineChars="200"/>
        <w:rPr>
          <w:rFonts w:ascii="仿宋" w:hAnsi="仿宋" w:eastAsia="仿宋" w:cs="宋体"/>
          <w:sz w:val="28"/>
          <w:szCs w:val="28"/>
        </w:rPr>
      </w:pPr>
    </w:p>
    <w:p>
      <w:pPr>
        <w:spacing w:line="360" w:lineRule="auto"/>
        <w:jc w:val="left"/>
        <w:rPr>
          <w:rFonts w:ascii="仿宋" w:hAnsi="仿宋" w:eastAsia="仿宋" w:cs="宋体"/>
          <w:b/>
          <w:bCs/>
          <w:sz w:val="28"/>
          <w:szCs w:val="28"/>
        </w:rPr>
      </w:pPr>
      <w:r>
        <w:rPr>
          <w:rFonts w:hint="eastAsia" w:ascii="仿宋" w:hAnsi="仿宋" w:eastAsia="仿宋" w:cs="宋体"/>
          <w:b/>
          <w:bCs/>
          <w:sz w:val="28"/>
          <w:szCs w:val="28"/>
        </w:rPr>
        <w:t xml:space="preserve">   时效指标</w:t>
      </w:r>
    </w:p>
    <w:p>
      <w:pPr>
        <w:numPr>
          <w:ilvl w:val="0"/>
          <w:numId w:val="11"/>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公益活动类：6大类主题活动完成率100%。</w:t>
      </w:r>
    </w:p>
    <w:p>
      <w:pPr>
        <w:numPr>
          <w:ilvl w:val="0"/>
          <w:numId w:val="11"/>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第二届全国中小学生电影周活动开幕式等全部活动完成率100%资源开发。</w:t>
      </w:r>
    </w:p>
    <w:p>
      <w:pPr>
        <w:numPr>
          <w:ilvl w:val="0"/>
          <w:numId w:val="11"/>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三大类18门课程完成率100%；安全实训智慧课程完成率85.66%。</w:t>
      </w:r>
    </w:p>
    <w:p>
      <w:pPr>
        <w:numPr>
          <w:ilvl w:val="0"/>
          <w:numId w:val="11"/>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人员培训：校外教育骨干教师培训完成率100%；安全实训教师及管理人员培训因实训场馆没有投入运营 ，该项工作将在2018年5-6月执行完毕。</w:t>
      </w:r>
    </w:p>
    <w:p>
      <w:pPr>
        <w:numPr>
          <w:ilvl w:val="0"/>
          <w:numId w:val="11"/>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改扩建项目：满足上海市及全国中小学生公共安全实训课程的全过程智能化管理，包括智能化流程管理、智慧实训管理、实训过程采集、自助服务、课程评价与教学反馈、教学对象实训数据记录与共享四类设施设备2000余件。</w:t>
      </w:r>
      <w:r>
        <w:rPr>
          <w:rFonts w:hint="eastAsia" w:ascii="仿宋" w:hAnsi="仿宋" w:eastAsia="仿宋" w:cs="宋体"/>
          <w:sz w:val="28"/>
          <w:szCs w:val="28"/>
          <w:lang w:eastAsia="zh-CN"/>
        </w:rPr>
        <w:t>，因场馆暂未结束建设投入运营，</w:t>
      </w:r>
      <w:r>
        <w:rPr>
          <w:rFonts w:hint="eastAsia" w:ascii="仿宋" w:hAnsi="仿宋" w:eastAsia="仿宋" w:cs="宋体"/>
          <w:sz w:val="28"/>
          <w:szCs w:val="28"/>
        </w:rPr>
        <w:t>预算执行率</w:t>
      </w:r>
      <w:r>
        <w:rPr>
          <w:rFonts w:hint="eastAsia" w:ascii="仿宋" w:hAnsi="仿宋" w:eastAsia="仿宋" w:cs="宋体"/>
          <w:sz w:val="28"/>
          <w:szCs w:val="28"/>
          <w:lang w:eastAsia="zh-CN"/>
        </w:rPr>
        <w:t>目前为</w:t>
      </w:r>
      <w:r>
        <w:rPr>
          <w:rFonts w:hint="eastAsia" w:ascii="仿宋" w:hAnsi="仿宋" w:eastAsia="仿宋" w:cs="宋体"/>
          <w:sz w:val="28"/>
          <w:szCs w:val="28"/>
        </w:rPr>
        <w:t>85.6%</w:t>
      </w:r>
      <w:r>
        <w:rPr>
          <w:rFonts w:hint="eastAsia" w:ascii="仿宋" w:hAnsi="仿宋" w:eastAsia="仿宋" w:cs="宋体"/>
          <w:sz w:val="28"/>
          <w:szCs w:val="28"/>
          <w:lang w:eastAsia="zh-CN"/>
        </w:rPr>
        <w:t>，计划将于</w:t>
      </w:r>
      <w:r>
        <w:rPr>
          <w:rFonts w:hint="eastAsia" w:ascii="仿宋" w:hAnsi="仿宋" w:eastAsia="仿宋" w:cs="宋体"/>
          <w:sz w:val="28"/>
          <w:szCs w:val="28"/>
          <w:lang w:val="en-US" w:eastAsia="zh-CN"/>
        </w:rPr>
        <w:t>2018年6月份执行完毕</w:t>
      </w:r>
      <w:r>
        <w:rPr>
          <w:rFonts w:hint="eastAsia" w:ascii="仿宋" w:hAnsi="仿宋" w:eastAsia="仿宋" w:cs="宋体"/>
          <w:sz w:val="28"/>
          <w:szCs w:val="28"/>
        </w:rPr>
        <w:t>。</w:t>
      </w:r>
    </w:p>
    <w:p>
      <w:pPr>
        <w:spacing w:line="360" w:lineRule="auto"/>
        <w:rPr>
          <w:rFonts w:ascii="仿宋" w:hAnsi="仿宋" w:eastAsia="仿宋" w:cs="宋体"/>
          <w:sz w:val="28"/>
          <w:szCs w:val="28"/>
        </w:rPr>
      </w:pPr>
    </w:p>
    <w:p>
      <w:pPr>
        <w:spacing w:line="360" w:lineRule="auto"/>
        <w:jc w:val="left"/>
        <w:rPr>
          <w:rFonts w:ascii="仿宋" w:hAnsi="仿宋" w:eastAsia="仿宋" w:cs="宋体"/>
          <w:b/>
          <w:bCs/>
          <w:sz w:val="28"/>
          <w:szCs w:val="28"/>
        </w:rPr>
      </w:pPr>
      <w:r>
        <w:rPr>
          <w:rFonts w:hint="eastAsia" w:ascii="仿宋" w:hAnsi="仿宋" w:eastAsia="仿宋" w:cs="宋体"/>
          <w:b/>
          <w:bCs/>
          <w:sz w:val="28"/>
          <w:szCs w:val="28"/>
        </w:rPr>
        <w:t xml:space="preserve">   成本指标</w:t>
      </w:r>
    </w:p>
    <w:p>
      <w:pPr>
        <w:numPr>
          <w:ilvl w:val="0"/>
          <w:numId w:val="1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公益活动类：</w:t>
      </w:r>
    </w:p>
    <w:p>
      <w:pPr>
        <w:spacing w:line="360" w:lineRule="auto"/>
        <w:ind w:firstLine="840" w:firstLineChars="300"/>
        <w:rPr>
          <w:rFonts w:ascii="仿宋" w:hAnsi="仿宋" w:eastAsia="仿宋" w:cs="宋体"/>
          <w:sz w:val="28"/>
          <w:szCs w:val="28"/>
        </w:rPr>
      </w:pPr>
      <w:r>
        <w:rPr>
          <w:rFonts w:hint="eastAsia" w:ascii="仿宋" w:hAnsi="仿宋" w:eastAsia="仿宋" w:cs="宋体"/>
          <w:sz w:val="28"/>
          <w:szCs w:val="28"/>
        </w:rPr>
        <w:t>6大类主题活动18个活动30批次共投入经费296.3万元。</w:t>
      </w:r>
    </w:p>
    <w:p>
      <w:pPr>
        <w:spacing w:line="360" w:lineRule="auto"/>
        <w:ind w:firstLine="840" w:firstLineChars="300"/>
        <w:rPr>
          <w:rFonts w:ascii="仿宋" w:hAnsi="仿宋" w:eastAsia="仿宋" w:cs="宋体"/>
          <w:sz w:val="28"/>
          <w:szCs w:val="28"/>
        </w:rPr>
      </w:pPr>
      <w:r>
        <w:rPr>
          <w:rFonts w:hint="eastAsia" w:ascii="仿宋" w:hAnsi="仿宋" w:eastAsia="仿宋" w:cs="宋体"/>
          <w:sz w:val="28"/>
          <w:szCs w:val="28"/>
        </w:rPr>
        <w:t>第二届全国中小学生电影周活动投入经费475.05万元。</w:t>
      </w:r>
    </w:p>
    <w:p>
      <w:pPr>
        <w:numPr>
          <w:ilvl w:val="0"/>
          <w:numId w:val="1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三大类18门课程投入经费109.1万元，安全实训智慧课程经费投入368万元。</w:t>
      </w:r>
    </w:p>
    <w:p>
      <w:pPr>
        <w:numPr>
          <w:ilvl w:val="0"/>
          <w:numId w:val="1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人员培训：</w:t>
      </w:r>
    </w:p>
    <w:p>
      <w:pPr>
        <w:spacing w:line="360" w:lineRule="auto"/>
        <w:ind w:firstLine="1120" w:firstLineChars="400"/>
        <w:rPr>
          <w:rFonts w:ascii="仿宋" w:hAnsi="仿宋" w:eastAsia="仿宋" w:cs="宋体"/>
          <w:sz w:val="28"/>
          <w:szCs w:val="28"/>
        </w:rPr>
      </w:pPr>
      <w:r>
        <w:rPr>
          <w:rFonts w:hint="eastAsia" w:ascii="仿宋" w:hAnsi="仿宋" w:eastAsia="仿宋" w:cs="宋体"/>
          <w:sz w:val="28"/>
          <w:szCs w:val="28"/>
        </w:rPr>
        <w:t>校外教育骨干教师培训经费投入52.1万元。</w:t>
      </w:r>
    </w:p>
    <w:p>
      <w:pPr>
        <w:spacing w:line="360" w:lineRule="auto"/>
        <w:ind w:firstLine="1120" w:firstLineChars="400"/>
        <w:rPr>
          <w:rFonts w:ascii="仿宋" w:hAnsi="仿宋" w:eastAsia="仿宋" w:cs="宋体"/>
          <w:sz w:val="28"/>
          <w:szCs w:val="28"/>
        </w:rPr>
      </w:pPr>
      <w:r>
        <w:rPr>
          <w:rFonts w:hint="eastAsia" w:ascii="仿宋" w:hAnsi="仿宋" w:eastAsia="仿宋" w:cs="宋体"/>
          <w:sz w:val="28"/>
          <w:szCs w:val="28"/>
        </w:rPr>
        <w:t>安全实训教师及管理人员培训经费投入11.5万元。</w:t>
      </w:r>
    </w:p>
    <w:p>
      <w:pPr>
        <w:numPr>
          <w:ilvl w:val="0"/>
          <w:numId w:val="12"/>
        </w:num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改扩建项目：</w:t>
      </w:r>
    </w:p>
    <w:p>
      <w:pPr>
        <w:spacing w:line="360" w:lineRule="auto"/>
        <w:ind w:firstLine="1120" w:firstLineChars="400"/>
        <w:rPr>
          <w:rFonts w:ascii="仿宋" w:hAnsi="仿宋" w:eastAsia="仿宋" w:cs="宋体"/>
          <w:sz w:val="28"/>
          <w:szCs w:val="28"/>
        </w:rPr>
      </w:pPr>
      <w:r>
        <w:rPr>
          <w:rFonts w:hint="eastAsia" w:ascii="仿宋" w:hAnsi="仿宋" w:eastAsia="仿宋" w:cs="宋体"/>
          <w:sz w:val="28"/>
          <w:szCs w:val="28"/>
        </w:rPr>
        <w:t>满足上海市及全国中小学生公共安全实训课程的全过程智能化管理，包括智能化流程管理、智慧实训管理、实训过程采集、自助服务、课程评价与教学反馈、教学对象实训数据记录与共享四类设施设备2000余件。投入经费755.8万元。</w:t>
      </w:r>
    </w:p>
    <w:p>
      <w:pPr>
        <w:ind w:firstLine="560" w:firstLineChars="200"/>
        <w:rPr>
          <w:rFonts w:ascii="仿宋" w:hAnsi="仿宋" w:eastAsia="仿宋" w:cs="宋体"/>
          <w:sz w:val="28"/>
          <w:szCs w:val="28"/>
        </w:rPr>
      </w:pPr>
    </w:p>
    <w:p>
      <w:pPr>
        <w:pStyle w:val="4"/>
        <w:widowControl/>
        <w:spacing w:line="360" w:lineRule="auto"/>
        <w:ind w:firstLine="643" w:firstLineChars="200"/>
        <w:jc w:val="center"/>
        <w:rPr>
          <w:rFonts w:ascii="仿宋" w:hAnsi="仿宋" w:eastAsia="仿宋" w:cs="宋体"/>
          <w:b/>
          <w:bCs/>
          <w:color w:val="000000"/>
          <w:sz w:val="32"/>
          <w:szCs w:val="32"/>
          <w:shd w:val="clear" w:color="auto" w:fill="FFFFFF"/>
        </w:rPr>
      </w:pPr>
      <w:r>
        <w:rPr>
          <w:rFonts w:hint="eastAsia" w:ascii="仿宋" w:hAnsi="仿宋" w:eastAsia="仿宋" w:cs="宋体"/>
          <w:b/>
          <w:bCs/>
          <w:color w:val="000000"/>
          <w:sz w:val="32"/>
          <w:szCs w:val="32"/>
          <w:shd w:val="clear" w:color="auto" w:fill="FFFFFF"/>
        </w:rPr>
        <w:t>效益指标</w:t>
      </w:r>
    </w:p>
    <w:p>
      <w:pPr>
        <w:pStyle w:val="4"/>
        <w:widowControl/>
        <w:numPr>
          <w:ilvl w:val="0"/>
          <w:numId w:val="13"/>
        </w:numPr>
        <w:spacing w:line="360" w:lineRule="auto"/>
        <w:ind w:firstLine="562" w:firstLineChars="200"/>
        <w:rPr>
          <w:rFonts w:ascii="仿宋" w:hAnsi="仿宋" w:eastAsia="仿宋" w:cs="宋体"/>
          <w:b/>
          <w:color w:val="000000"/>
          <w:sz w:val="28"/>
          <w:szCs w:val="28"/>
          <w:shd w:val="clear" w:color="auto" w:fill="FFFFFF"/>
        </w:rPr>
      </w:pPr>
      <w:r>
        <w:rPr>
          <w:rFonts w:hint="eastAsia" w:ascii="仿宋" w:hAnsi="仿宋" w:eastAsia="仿宋" w:cs="宋体"/>
          <w:b/>
          <w:color w:val="000000"/>
          <w:sz w:val="28"/>
          <w:szCs w:val="28"/>
          <w:shd w:val="clear" w:color="auto" w:fill="FFFFFF"/>
        </w:rPr>
        <w:t>经济效益指标</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活动配套视频不少于5件，并用于不同学生和学校群。如高中年龄段不少于5万人中使用十八岁成人仪式视频。课程开发成果汇编（3册），配套视频3部。</w:t>
      </w:r>
    </w:p>
    <w:p>
      <w:pPr>
        <w:pStyle w:val="4"/>
        <w:widowControl/>
        <w:numPr>
          <w:ilvl w:val="0"/>
          <w:numId w:val="14"/>
        </w:numPr>
        <w:tabs>
          <w:tab w:val="left" w:pos="312"/>
        </w:tabs>
        <w:spacing w:line="360" w:lineRule="auto"/>
        <w:rPr>
          <w:rFonts w:ascii="仿宋" w:hAnsi="仿宋" w:eastAsia="仿宋" w:cs="宋体"/>
          <w:b/>
          <w:color w:val="000000"/>
          <w:sz w:val="28"/>
          <w:szCs w:val="28"/>
          <w:shd w:val="clear" w:color="auto" w:fill="FFFFFF"/>
        </w:rPr>
      </w:pPr>
      <w:r>
        <w:rPr>
          <w:rFonts w:hint="eastAsia" w:ascii="仿宋" w:hAnsi="仿宋" w:eastAsia="仿宋" w:cs="宋体"/>
          <w:b/>
          <w:color w:val="000000"/>
          <w:sz w:val="28"/>
          <w:szCs w:val="28"/>
          <w:shd w:val="clear" w:color="auto" w:fill="FFFFFF"/>
        </w:rPr>
        <w:t>社会效益指标</w:t>
      </w:r>
    </w:p>
    <w:p>
      <w:pPr>
        <w:pStyle w:val="4"/>
        <w:widowControl/>
        <w:spacing w:line="360" w:lineRule="auto"/>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活动的宣传总量达50次以上，社会优质资源联动15家以上（团市委、馆校联盟、博雅网、环保局、科普基地联合会等），年活动社会影响辐射面100万人以上。</w:t>
      </w:r>
    </w:p>
    <w:p>
      <w:pPr>
        <w:tabs>
          <w:tab w:val="center" w:pos="4153"/>
          <w:tab w:val="right" w:pos="8306"/>
        </w:tabs>
        <w:spacing w:line="240" w:lineRule="atLeas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课程成果受益学生人次大于30万，社会资源投入数10个，课程辐射推广学校数大于100个，现有课程实施学生人次每年近50万，开发课程可直接实施当年度中的30万人次。</w:t>
      </w:r>
    </w:p>
    <w:p>
      <w:pPr>
        <w:tabs>
          <w:tab w:val="center" w:pos="4153"/>
          <w:tab w:val="right" w:pos="8306"/>
        </w:tabs>
        <w:spacing w:line="240" w:lineRule="atLeast"/>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受训师资区县分布（16个），辐射广度（三省一市），间接受益学生数（大于100万），培训人次天1900多。</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服务社会层面，我们服务社会发展，营造良好的社会环境；服务学校层面，我们积极促进学校的均衡发展，提升学生的综合素质；服务学生层面，我们尽力提高学生影视欣赏、表演能力，提升学生的综合素养。</w:t>
      </w:r>
    </w:p>
    <w:p>
      <w:pPr>
        <w:pStyle w:val="4"/>
        <w:widowControl/>
        <w:numPr>
          <w:ilvl w:val="0"/>
          <w:numId w:val="13"/>
        </w:numPr>
        <w:spacing w:line="360" w:lineRule="auto"/>
        <w:ind w:firstLine="562" w:firstLineChars="200"/>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生态效益指标</w:t>
      </w:r>
    </w:p>
    <w:p>
      <w:pPr>
        <w:pStyle w:val="4"/>
        <w:widowControl/>
        <w:spacing w:line="360" w:lineRule="auto"/>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1）公益活动的开展中生态宣教活动已经常态化社会化，生态文明宣传人次50万以上。</w:t>
      </w:r>
    </w:p>
    <w:p>
      <w:pPr>
        <w:pStyle w:val="4"/>
        <w:widowControl/>
        <w:spacing w:line="360" w:lineRule="auto"/>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2）电影周活动的开展，以文化人、以艺育人的氛围形成。深化“电影+”，充分发挥优秀影片综合育人功能。通过“我的影片我来创”“我喜爱的影片我来评”“我的电影节我来报”等活动形式凸显学生主体，展现“我的电影节我做主”。</w:t>
      </w:r>
    </w:p>
    <w:p>
      <w:pPr>
        <w:pStyle w:val="4"/>
        <w:widowControl/>
        <w:numPr>
          <w:ilvl w:val="0"/>
          <w:numId w:val="15"/>
        </w:numPr>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课程开发中生态效益部分不断更新优化，同时成果共享机制不断完善，课程实施效果明显，生态宣教人群会随着受教群体推广辐射。</w:t>
      </w:r>
    </w:p>
    <w:p>
      <w:pPr>
        <w:pStyle w:val="4"/>
        <w:widowControl/>
        <w:numPr>
          <w:ilvl w:val="0"/>
          <w:numId w:val="15"/>
        </w:numPr>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安全教育信息化管理系统建设全面投入运营实施后，将全面提升学生实训活动的生态文明意识。</w:t>
      </w:r>
    </w:p>
    <w:p>
      <w:pPr>
        <w:pStyle w:val="4"/>
        <w:widowControl/>
        <w:spacing w:line="360" w:lineRule="auto"/>
        <w:ind w:firstLine="562" w:firstLineChars="200"/>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 xml:space="preserve"> 4.可持续影响</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1）公益活动的广发开展促进中小学生兴趣广泛发展，探究学习能力形成，可持续影响力10年以上。</w:t>
      </w:r>
    </w:p>
    <w:p>
      <w:pPr>
        <w:tabs>
          <w:tab w:val="center" w:pos="4153"/>
          <w:tab w:val="right" w:pos="8306"/>
        </w:tabs>
        <w:spacing w:line="240" w:lineRule="atLeas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2）校外管理人员和群文师资队伍的科学人文素养、专业化能力及指导水平显著提升，其可持续影响效果显著。</w:t>
      </w:r>
    </w:p>
    <w:p>
      <w:pPr>
        <w:tabs>
          <w:tab w:val="center" w:pos="4153"/>
          <w:tab w:val="right" w:pos="8306"/>
        </w:tabs>
        <w:spacing w:line="240" w:lineRule="atLeas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3）教育部、广电总局、全国中小学影视教育协调工作委员会、中国儿童少年电影学会大力支持，活动通过网络、电视等媒体覆盖全国，24家中央、市、区媒体都同步深入报道，网上转载6000多条，点击率达到几十万人次。其可持续影响大于12年。</w:t>
      </w:r>
    </w:p>
    <w:p>
      <w:pPr>
        <w:tabs>
          <w:tab w:val="center" w:pos="4153"/>
          <w:tab w:val="right" w:pos="8306"/>
        </w:tabs>
        <w:spacing w:line="240" w:lineRule="atLeas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 xml:space="preserve">     4）安全教学实训课程的实施与开展将全面启动上海市中小学生的安全实训体验教育，其实施效果可持续影响力将持续陪伴学生的终身成长。</w:t>
      </w:r>
    </w:p>
    <w:p>
      <w:pPr>
        <w:pStyle w:val="4"/>
        <w:widowControl/>
        <w:spacing w:line="360" w:lineRule="auto"/>
        <w:ind w:firstLine="562" w:firstLineChars="200"/>
        <w:jc w:val="center"/>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满意度指标</w:t>
      </w:r>
    </w:p>
    <w:p>
      <w:pPr>
        <w:pStyle w:val="4"/>
        <w:widowControl/>
        <w:numPr>
          <w:ilvl w:val="0"/>
          <w:numId w:val="16"/>
        </w:numPr>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活动开展参与学生满意度大于（92%），各类受众群体满意度92%以上；社会公众满意度大于92%。</w:t>
      </w:r>
    </w:p>
    <w:p>
      <w:pPr>
        <w:pStyle w:val="4"/>
        <w:widowControl/>
        <w:numPr>
          <w:ilvl w:val="0"/>
          <w:numId w:val="16"/>
        </w:numPr>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人员培训实施，校外教育管理人员和教师对课程满意度大于92%。</w:t>
      </w:r>
    </w:p>
    <w:p>
      <w:pPr>
        <w:pStyle w:val="4"/>
        <w:widowControl/>
        <w:numPr>
          <w:ilvl w:val="0"/>
          <w:numId w:val="16"/>
        </w:numPr>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资源开发成果校外活动场所满意度大于92%。</w:t>
      </w:r>
    </w:p>
    <w:p>
      <w:pPr>
        <w:pStyle w:val="4"/>
        <w:widowControl/>
        <w:spacing w:line="360" w:lineRule="auto"/>
        <w:ind w:firstLine="560" w:firstLineChars="200"/>
        <w:rPr>
          <w:rFonts w:ascii="仿宋" w:hAnsi="仿宋" w:eastAsia="仿宋" w:cs="Times New Roman"/>
          <w:sz w:val="28"/>
          <w:szCs w:val="28"/>
        </w:rPr>
      </w:pPr>
    </w:p>
    <w:p>
      <w:pPr>
        <w:pStyle w:val="4"/>
        <w:widowControl/>
        <w:spacing w:line="360" w:lineRule="auto"/>
        <w:ind w:firstLine="562" w:firstLineChars="200"/>
        <w:jc w:val="left"/>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二、存在问题及原因分析</w:t>
      </w:r>
    </w:p>
    <w:p>
      <w:pPr>
        <w:pStyle w:val="4"/>
        <w:widowControl/>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1.2016年度项目资金使用环节上节奏未能很好把握。第二次划拨的1811.9万元经费2017年9月18日到位，其中1311.9万元用于支持公共安全教育实训中心信息化系统建设，绿舟在经费下拨后即全力推进，但因项目执行整体周期限制，到目前为止，绩效执行进度为85.6%，</w:t>
      </w:r>
      <w:r>
        <w:rPr>
          <w:rFonts w:hint="eastAsia" w:ascii="仿宋" w:hAnsi="仿宋" w:eastAsia="仿宋" w:cs="宋体"/>
          <w:color w:val="000000"/>
          <w:sz w:val="28"/>
          <w:szCs w:val="28"/>
          <w:shd w:val="clear" w:color="auto" w:fill="FFFFFF"/>
          <w:lang w:eastAsia="zh-CN"/>
        </w:rPr>
        <w:t>计划在</w:t>
      </w:r>
      <w:r>
        <w:rPr>
          <w:rFonts w:hint="eastAsia" w:ascii="仿宋" w:hAnsi="仿宋" w:eastAsia="仿宋" w:cs="宋体"/>
          <w:color w:val="000000"/>
          <w:sz w:val="28"/>
          <w:szCs w:val="28"/>
          <w:shd w:val="clear" w:color="auto" w:fill="FFFFFF"/>
          <w:lang w:val="en-US" w:eastAsia="zh-CN"/>
        </w:rPr>
        <w:t>2018年6月执行完毕</w:t>
      </w:r>
      <w:r>
        <w:rPr>
          <w:rFonts w:hint="eastAsia" w:ascii="仿宋" w:hAnsi="仿宋" w:eastAsia="仿宋" w:cs="宋体"/>
          <w:color w:val="000000"/>
          <w:sz w:val="28"/>
          <w:szCs w:val="28"/>
          <w:shd w:val="clear" w:color="auto" w:fill="FFFFFF"/>
        </w:rPr>
        <w:t>。</w:t>
      </w:r>
      <w:r>
        <w:rPr>
          <w:rFonts w:hint="eastAsia" w:ascii="仿宋" w:hAnsi="仿宋" w:eastAsia="仿宋" w:cs="宋体"/>
          <w:color w:val="000000"/>
          <w:sz w:val="28"/>
          <w:szCs w:val="28"/>
          <w:shd w:val="clear" w:color="auto" w:fill="FFFFFF"/>
          <w:lang w:eastAsia="zh-CN"/>
        </w:rPr>
        <w:t>另有电影周活动所有活动结束，项目预算执行率为</w:t>
      </w:r>
      <w:r>
        <w:rPr>
          <w:rFonts w:hint="eastAsia" w:ascii="仿宋" w:hAnsi="仿宋" w:eastAsia="仿宋" w:cs="宋体"/>
          <w:color w:val="000000"/>
          <w:sz w:val="28"/>
          <w:szCs w:val="28"/>
          <w:shd w:val="clear" w:color="auto" w:fill="FFFFFF"/>
          <w:lang w:val="en-US" w:eastAsia="zh-CN"/>
        </w:rPr>
        <w:t>95.01%，余款24.9万元。</w:t>
      </w:r>
    </w:p>
    <w:p>
      <w:pPr>
        <w:pStyle w:val="4"/>
        <w:widowControl/>
        <w:numPr>
          <w:ilvl w:val="0"/>
          <w:numId w:val="17"/>
        </w:numPr>
        <w:spacing w:line="360" w:lineRule="auto"/>
        <w:ind w:firstLine="560" w:firstLineChars="200"/>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东方绿舟力争达到的全国引领示范，其人员能力提升项目系统化和专业化程度仍需提高</w:t>
      </w:r>
      <w:r>
        <w:rPr>
          <w:rFonts w:hint="eastAsia" w:ascii="仿宋" w:hAnsi="仿宋" w:eastAsia="仿宋" w:cs="宋体"/>
          <w:color w:val="000000"/>
          <w:sz w:val="28"/>
          <w:szCs w:val="28"/>
          <w:shd w:val="clear" w:color="auto" w:fill="FFFFFF"/>
          <w:lang w:eastAsia="zh-CN"/>
        </w:rPr>
        <w:t>，</w:t>
      </w:r>
      <w:r>
        <w:rPr>
          <w:rFonts w:hint="eastAsia" w:ascii="仿宋" w:hAnsi="仿宋" w:eastAsia="仿宋" w:cs="宋体"/>
          <w:color w:val="000000"/>
          <w:sz w:val="28"/>
          <w:szCs w:val="28"/>
          <w:shd w:val="clear" w:color="auto" w:fill="FFFFFF"/>
        </w:rPr>
        <w:t>目前还不能高质量地实现分层分类培训架构。</w:t>
      </w:r>
    </w:p>
    <w:p>
      <w:pPr>
        <w:pStyle w:val="4"/>
        <w:widowControl/>
        <w:spacing w:line="360" w:lineRule="auto"/>
        <w:ind w:firstLine="560" w:firstLineChars="200"/>
        <w:rPr>
          <w:rFonts w:ascii="仿宋" w:hAnsi="仿宋" w:eastAsia="仿宋" w:cs="宋体"/>
          <w:color w:val="000000"/>
          <w:sz w:val="28"/>
          <w:szCs w:val="28"/>
          <w:shd w:val="clear" w:color="auto" w:fill="FFFFFF"/>
        </w:rPr>
      </w:pPr>
    </w:p>
    <w:p>
      <w:pPr>
        <w:pStyle w:val="4"/>
        <w:widowControl/>
        <w:spacing w:line="360" w:lineRule="auto"/>
        <w:ind w:left="420" w:leftChars="200"/>
        <w:jc w:val="left"/>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三、改进措施</w:t>
      </w:r>
    </w:p>
    <w:p>
      <w:pPr>
        <w:pStyle w:val="4"/>
        <w:widowControl/>
        <w:spacing w:line="360" w:lineRule="auto"/>
        <w:ind w:firstLine="560" w:firstLineChars="200"/>
        <w:jc w:val="lef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1.充分研究相关政策，主动配合上级管理部门的工作节奏，量力而行申请任务，逐步完善营地内三级项目库建设制度，以便能及时有序有效地安排项目，缓冲专项任务和日常工作任务方面的冲突。</w:t>
      </w:r>
    </w:p>
    <w:p>
      <w:pPr>
        <w:pStyle w:val="4"/>
        <w:widowControl/>
        <w:spacing w:line="360" w:lineRule="auto"/>
        <w:ind w:firstLine="560" w:firstLineChars="200"/>
        <w:jc w:val="lef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2.做好人才储备工作，积极探索第三方合作的有效路径与合作模式，以便能在任务繁重时做到有条不紊，减少教职工工作量过大的现象。</w:t>
      </w:r>
    </w:p>
    <w:p>
      <w:pPr>
        <w:pStyle w:val="4"/>
        <w:widowControl/>
        <w:spacing w:line="360" w:lineRule="auto"/>
        <w:ind w:firstLine="560" w:firstLineChars="200"/>
        <w:jc w:val="left"/>
        <w:rPr>
          <w:rFonts w:ascii="仿宋" w:hAnsi="仿宋" w:eastAsia="仿宋" w:cs="宋体"/>
          <w:color w:val="000000"/>
          <w:sz w:val="28"/>
          <w:szCs w:val="28"/>
          <w:shd w:val="clear" w:color="auto" w:fill="FFFFFF"/>
        </w:rPr>
      </w:pPr>
      <w:r>
        <w:rPr>
          <w:rFonts w:hint="eastAsia" w:ascii="仿宋" w:hAnsi="仿宋" w:eastAsia="仿宋" w:cs="宋体"/>
          <w:color w:val="000000"/>
          <w:sz w:val="28"/>
          <w:szCs w:val="28"/>
          <w:shd w:val="clear" w:color="auto" w:fill="FFFFFF"/>
        </w:rPr>
        <w:t>3.加强能力提升培训， 提高工作质量和效率，加快项目实施进程。</w:t>
      </w:r>
    </w:p>
    <w:p>
      <w:pPr>
        <w:pStyle w:val="4"/>
        <w:widowControl/>
        <w:spacing w:line="360" w:lineRule="auto"/>
        <w:ind w:firstLine="560" w:firstLineChars="200"/>
        <w:jc w:val="left"/>
        <w:rPr>
          <w:rFonts w:ascii="仿宋" w:hAnsi="仿宋" w:eastAsia="仿宋" w:cs="宋体"/>
          <w:color w:val="000000"/>
          <w:sz w:val="28"/>
          <w:szCs w:val="28"/>
          <w:shd w:val="clear" w:color="auto" w:fill="FFFFFF"/>
        </w:rPr>
      </w:pPr>
    </w:p>
    <w:p>
      <w:pPr>
        <w:pStyle w:val="4"/>
        <w:widowControl/>
        <w:spacing w:line="360" w:lineRule="auto"/>
        <w:ind w:firstLine="562" w:firstLineChars="200"/>
        <w:jc w:val="left"/>
        <w:rPr>
          <w:rFonts w:ascii="仿宋" w:hAnsi="仿宋" w:eastAsia="仿宋" w:cs="宋体"/>
          <w:b/>
          <w:bCs/>
          <w:color w:val="000000"/>
          <w:sz w:val="28"/>
          <w:szCs w:val="28"/>
          <w:shd w:val="clear" w:color="auto" w:fill="FFFFFF"/>
        </w:rPr>
      </w:pPr>
      <w:r>
        <w:rPr>
          <w:rFonts w:hint="eastAsia" w:ascii="仿宋" w:hAnsi="仿宋" w:eastAsia="仿宋" w:cs="宋体"/>
          <w:b/>
          <w:bCs/>
          <w:color w:val="000000"/>
          <w:sz w:val="28"/>
          <w:szCs w:val="28"/>
          <w:shd w:val="clear" w:color="auto" w:fill="FFFFFF"/>
        </w:rPr>
        <w:t>四、尚未完成部分的执行节点</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340"/>
        <w:gridCol w:w="400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序号</w:t>
            </w:r>
          </w:p>
        </w:tc>
        <w:tc>
          <w:tcPr>
            <w:tcW w:w="2340"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时间</w:t>
            </w:r>
          </w:p>
        </w:tc>
        <w:tc>
          <w:tcPr>
            <w:tcW w:w="4003"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项目内容</w:t>
            </w:r>
          </w:p>
        </w:tc>
        <w:tc>
          <w:tcPr>
            <w:tcW w:w="2464"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经费预算（万元）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1</w:t>
            </w:r>
          </w:p>
        </w:tc>
        <w:tc>
          <w:tcPr>
            <w:tcW w:w="2340"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color w:val="000000"/>
                <w:sz w:val="21"/>
                <w:szCs w:val="21"/>
                <w:shd w:val="clear" w:color="auto" w:fill="FFFFFF"/>
              </w:rPr>
              <w:t>2018年5-6月</w:t>
            </w:r>
          </w:p>
        </w:tc>
        <w:tc>
          <w:tcPr>
            <w:tcW w:w="4003" w:type="dxa"/>
          </w:tcPr>
          <w:p>
            <w:pPr>
              <w:pStyle w:val="4"/>
              <w:widowControl/>
              <w:spacing w:line="360" w:lineRule="auto"/>
              <w:jc w:val="left"/>
              <w:rPr>
                <w:rFonts w:ascii="仿宋" w:hAnsi="仿宋" w:eastAsia="仿宋" w:cs="宋体"/>
                <w:color w:val="000000"/>
                <w:sz w:val="21"/>
                <w:szCs w:val="21"/>
                <w:shd w:val="clear" w:color="auto" w:fill="FFFFFF"/>
              </w:rPr>
            </w:pPr>
            <w:r>
              <w:rPr>
                <w:rFonts w:hint="eastAsia" w:ascii="仿宋" w:hAnsi="仿宋" w:eastAsia="仿宋" w:cs="宋体"/>
                <w:sz w:val="21"/>
                <w:szCs w:val="21"/>
                <w:lang w:val="en-US" w:eastAsia="zh-CN"/>
              </w:rPr>
              <w:t>公共</w:t>
            </w:r>
            <w:r>
              <w:rPr>
                <w:rFonts w:hint="eastAsia" w:ascii="仿宋" w:hAnsi="仿宋" w:eastAsia="仿宋" w:cs="宋体"/>
                <w:sz w:val="21"/>
                <w:szCs w:val="21"/>
              </w:rPr>
              <w:t>安全</w:t>
            </w:r>
            <w:r>
              <w:rPr>
                <w:rFonts w:hint="eastAsia" w:ascii="仿宋" w:hAnsi="仿宋" w:eastAsia="仿宋" w:cs="宋体"/>
                <w:sz w:val="21"/>
                <w:szCs w:val="21"/>
                <w:lang w:eastAsia="zh-CN"/>
              </w:rPr>
              <w:t>教育</w:t>
            </w:r>
            <w:r>
              <w:rPr>
                <w:rFonts w:hint="eastAsia" w:ascii="仿宋" w:hAnsi="仿宋" w:eastAsia="仿宋" w:cs="宋体"/>
                <w:sz w:val="21"/>
                <w:szCs w:val="21"/>
                <w:lang w:val="en-US" w:eastAsia="zh-CN"/>
              </w:rPr>
              <w:t>智慧教育管理系统</w:t>
            </w:r>
          </w:p>
        </w:tc>
        <w:tc>
          <w:tcPr>
            <w:tcW w:w="2464" w:type="dxa"/>
          </w:tcPr>
          <w:p>
            <w:pPr>
              <w:pStyle w:val="4"/>
              <w:widowControl/>
              <w:spacing w:line="360" w:lineRule="auto"/>
              <w:jc w:val="left"/>
              <w:rPr>
                <w:rFonts w:hint="eastAsia" w:ascii="仿宋" w:hAnsi="仿宋" w:eastAsia="仿宋" w:cs="宋体"/>
                <w:color w:val="000000"/>
                <w:sz w:val="21"/>
                <w:szCs w:val="21"/>
                <w:shd w:val="clear" w:color="auto" w:fill="FFFFFF"/>
                <w:lang w:eastAsia="zh-CN"/>
              </w:rPr>
            </w:pPr>
            <w:r>
              <w:rPr>
                <w:rFonts w:hint="eastAsia" w:ascii="仿宋" w:hAnsi="仿宋" w:eastAsia="仿宋" w:cs="宋体"/>
                <w:color w:val="000000"/>
                <w:sz w:val="21"/>
                <w:szCs w:val="21"/>
                <w:shd w:val="clear" w:color="auto" w:fill="FFFFFF"/>
                <w:lang w:val="en-US" w:eastAsia="zh-CN"/>
              </w:rPr>
              <w:t>188</w:t>
            </w:r>
          </w:p>
        </w:tc>
      </w:tr>
    </w:tbl>
    <w:p>
      <w:pPr>
        <w:pStyle w:val="4"/>
        <w:widowControl/>
        <w:spacing w:line="360" w:lineRule="auto"/>
        <w:jc w:val="left"/>
        <w:rPr>
          <w:rFonts w:ascii="仿宋" w:hAnsi="仿宋" w:eastAsia="仿宋" w:cs="宋体"/>
          <w:color w:val="000000"/>
          <w:sz w:val="28"/>
          <w:szCs w:val="28"/>
          <w:shd w:val="clear" w:color="auto" w:fill="FFFFFF"/>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5779B"/>
    <w:multiLevelType w:val="singleLevel"/>
    <w:tmpl w:val="AC75779B"/>
    <w:lvl w:ilvl="0" w:tentative="0">
      <w:start w:val="1"/>
      <w:numFmt w:val="decimal"/>
      <w:lvlText w:val="%1."/>
      <w:lvlJc w:val="left"/>
      <w:pPr>
        <w:tabs>
          <w:tab w:val="left" w:pos="312"/>
        </w:tabs>
      </w:pPr>
    </w:lvl>
  </w:abstractNum>
  <w:abstractNum w:abstractNumId="1">
    <w:nsid w:val="5ABC9363"/>
    <w:multiLevelType w:val="singleLevel"/>
    <w:tmpl w:val="5ABC9363"/>
    <w:lvl w:ilvl="0" w:tentative="0">
      <w:start w:val="1"/>
      <w:numFmt w:val="decimal"/>
      <w:suff w:val="space"/>
      <w:lvlText w:val="%1."/>
      <w:lvlJc w:val="left"/>
    </w:lvl>
  </w:abstractNum>
  <w:abstractNum w:abstractNumId="2">
    <w:nsid w:val="5ABC9D25"/>
    <w:multiLevelType w:val="singleLevel"/>
    <w:tmpl w:val="5ABC9D25"/>
    <w:lvl w:ilvl="0" w:tentative="0">
      <w:start w:val="1"/>
      <w:numFmt w:val="decimal"/>
      <w:suff w:val="nothing"/>
      <w:lvlText w:val="%1）"/>
      <w:lvlJc w:val="left"/>
    </w:lvl>
  </w:abstractNum>
  <w:abstractNum w:abstractNumId="3">
    <w:nsid w:val="5ABCAB06"/>
    <w:multiLevelType w:val="singleLevel"/>
    <w:tmpl w:val="5ABCAB06"/>
    <w:lvl w:ilvl="0" w:tentative="0">
      <w:start w:val="1"/>
      <w:numFmt w:val="decimal"/>
      <w:suff w:val="nothing"/>
      <w:lvlText w:val="%1）"/>
      <w:lvlJc w:val="left"/>
    </w:lvl>
  </w:abstractNum>
  <w:abstractNum w:abstractNumId="4">
    <w:nsid w:val="5ABCD8B0"/>
    <w:multiLevelType w:val="singleLevel"/>
    <w:tmpl w:val="5ABCD8B0"/>
    <w:lvl w:ilvl="0" w:tentative="0">
      <w:start w:val="3"/>
      <w:numFmt w:val="decimal"/>
      <w:lvlText w:val="%1."/>
      <w:lvlJc w:val="left"/>
      <w:pPr>
        <w:tabs>
          <w:tab w:val="left" w:pos="312"/>
        </w:tabs>
      </w:pPr>
    </w:lvl>
  </w:abstractNum>
  <w:abstractNum w:abstractNumId="5">
    <w:nsid w:val="5ABCDAAF"/>
    <w:multiLevelType w:val="singleLevel"/>
    <w:tmpl w:val="5ABCDAAF"/>
    <w:lvl w:ilvl="0" w:tentative="0">
      <w:start w:val="1"/>
      <w:numFmt w:val="decimal"/>
      <w:suff w:val="nothing"/>
      <w:lvlText w:val="%1）"/>
      <w:lvlJc w:val="left"/>
    </w:lvl>
  </w:abstractNum>
  <w:abstractNum w:abstractNumId="6">
    <w:nsid w:val="5ABCE256"/>
    <w:multiLevelType w:val="singleLevel"/>
    <w:tmpl w:val="5ABCE256"/>
    <w:lvl w:ilvl="0" w:tentative="0">
      <w:start w:val="4"/>
      <w:numFmt w:val="decimal"/>
      <w:suff w:val="nothing"/>
      <w:lvlText w:val="%1、"/>
      <w:lvlJc w:val="left"/>
    </w:lvl>
  </w:abstractNum>
  <w:abstractNum w:abstractNumId="7">
    <w:nsid w:val="5ABCE457"/>
    <w:multiLevelType w:val="singleLevel"/>
    <w:tmpl w:val="5ABCE457"/>
    <w:lvl w:ilvl="0" w:tentative="0">
      <w:start w:val="3"/>
      <w:numFmt w:val="decimal"/>
      <w:suff w:val="nothing"/>
      <w:lvlText w:val="%1）"/>
      <w:lvlJc w:val="left"/>
    </w:lvl>
  </w:abstractNum>
  <w:abstractNum w:abstractNumId="8">
    <w:nsid w:val="5ABCE5E0"/>
    <w:multiLevelType w:val="singleLevel"/>
    <w:tmpl w:val="5ABCE5E0"/>
    <w:lvl w:ilvl="0" w:tentative="0">
      <w:start w:val="1"/>
      <w:numFmt w:val="decimal"/>
      <w:suff w:val="nothing"/>
      <w:lvlText w:val="%1）"/>
      <w:lvlJc w:val="left"/>
    </w:lvl>
  </w:abstractNum>
  <w:abstractNum w:abstractNumId="9">
    <w:nsid w:val="5ABCF17D"/>
    <w:multiLevelType w:val="singleLevel"/>
    <w:tmpl w:val="5ABCF17D"/>
    <w:lvl w:ilvl="0" w:tentative="0">
      <w:start w:val="1"/>
      <w:numFmt w:val="upperLetter"/>
      <w:suff w:val="space"/>
      <w:lvlText w:val="%1."/>
      <w:lvlJc w:val="left"/>
    </w:lvl>
  </w:abstractNum>
  <w:abstractNum w:abstractNumId="10">
    <w:nsid w:val="5ABCF3B4"/>
    <w:multiLevelType w:val="singleLevel"/>
    <w:tmpl w:val="5ABCF3B4"/>
    <w:lvl w:ilvl="0" w:tentative="0">
      <w:start w:val="1"/>
      <w:numFmt w:val="upperLetter"/>
      <w:suff w:val="space"/>
      <w:lvlText w:val="%1."/>
      <w:lvlJc w:val="left"/>
    </w:lvl>
  </w:abstractNum>
  <w:abstractNum w:abstractNumId="11">
    <w:nsid w:val="5ABD95D6"/>
    <w:multiLevelType w:val="singleLevel"/>
    <w:tmpl w:val="5ABD95D6"/>
    <w:lvl w:ilvl="0" w:tentative="0">
      <w:start w:val="3"/>
      <w:numFmt w:val="decimal"/>
      <w:suff w:val="nothing"/>
      <w:lvlText w:val="%1）"/>
      <w:lvlJc w:val="left"/>
    </w:lvl>
  </w:abstractNum>
  <w:abstractNum w:abstractNumId="12">
    <w:nsid w:val="5ABD9A93"/>
    <w:multiLevelType w:val="singleLevel"/>
    <w:tmpl w:val="5ABD9A93"/>
    <w:lvl w:ilvl="0" w:tentative="0">
      <w:start w:val="1"/>
      <w:numFmt w:val="decimal"/>
      <w:suff w:val="nothing"/>
      <w:lvlText w:val="%1）"/>
      <w:lvlJc w:val="left"/>
    </w:lvl>
  </w:abstractNum>
  <w:abstractNum w:abstractNumId="13">
    <w:nsid w:val="5ABD9C70"/>
    <w:multiLevelType w:val="singleLevel"/>
    <w:tmpl w:val="5ABD9C70"/>
    <w:lvl w:ilvl="0" w:tentative="0">
      <w:start w:val="1"/>
      <w:numFmt w:val="decimal"/>
      <w:suff w:val="space"/>
      <w:lvlText w:val="%1."/>
      <w:lvlJc w:val="left"/>
    </w:lvl>
  </w:abstractNum>
  <w:abstractNum w:abstractNumId="14">
    <w:nsid w:val="5ABD9CC2"/>
    <w:multiLevelType w:val="singleLevel"/>
    <w:tmpl w:val="5ABD9CC2"/>
    <w:lvl w:ilvl="0" w:tentative="0">
      <w:start w:val="1"/>
      <w:numFmt w:val="decimal"/>
      <w:suff w:val="space"/>
      <w:lvlText w:val="%1."/>
      <w:lvlJc w:val="left"/>
    </w:lvl>
  </w:abstractNum>
  <w:abstractNum w:abstractNumId="15">
    <w:nsid w:val="5ABDC72D"/>
    <w:multiLevelType w:val="singleLevel"/>
    <w:tmpl w:val="5ABDC72D"/>
    <w:lvl w:ilvl="0" w:tentative="0">
      <w:start w:val="2"/>
      <w:numFmt w:val="decimal"/>
      <w:suff w:val="space"/>
      <w:lvlText w:val="%1."/>
      <w:lvlJc w:val="left"/>
    </w:lvl>
  </w:abstractNum>
  <w:abstractNum w:abstractNumId="16">
    <w:nsid w:val="62E00652"/>
    <w:multiLevelType w:val="multilevel"/>
    <w:tmpl w:val="62E00652"/>
    <w:lvl w:ilvl="0" w:tentative="0">
      <w:start w:val="2"/>
      <w:numFmt w:val="decimal"/>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13"/>
  </w:num>
  <w:num w:numId="13">
    <w:abstractNumId w:val="0"/>
  </w:num>
  <w:num w:numId="14">
    <w:abstractNumId w:val="16"/>
  </w:num>
  <w:num w:numId="15">
    <w:abstractNumId w:val="1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44047"/>
    <w:rsid w:val="00117622"/>
    <w:rsid w:val="00130521"/>
    <w:rsid w:val="001A6932"/>
    <w:rsid w:val="002871C1"/>
    <w:rsid w:val="002E3859"/>
    <w:rsid w:val="00387BA2"/>
    <w:rsid w:val="004B3286"/>
    <w:rsid w:val="004C5C29"/>
    <w:rsid w:val="006336BC"/>
    <w:rsid w:val="00730390"/>
    <w:rsid w:val="00735E7F"/>
    <w:rsid w:val="00883CB3"/>
    <w:rsid w:val="008A04B8"/>
    <w:rsid w:val="008D4B52"/>
    <w:rsid w:val="00913BFD"/>
    <w:rsid w:val="009E55D9"/>
    <w:rsid w:val="00B27E46"/>
    <w:rsid w:val="00B92AC8"/>
    <w:rsid w:val="00C26D4D"/>
    <w:rsid w:val="00CA494A"/>
    <w:rsid w:val="00CC7797"/>
    <w:rsid w:val="00D90F37"/>
    <w:rsid w:val="00E54938"/>
    <w:rsid w:val="00E81B6A"/>
    <w:rsid w:val="00F1536F"/>
    <w:rsid w:val="00F46ECD"/>
    <w:rsid w:val="00F47E31"/>
    <w:rsid w:val="00F54312"/>
    <w:rsid w:val="00F64CC2"/>
    <w:rsid w:val="05182097"/>
    <w:rsid w:val="053060DF"/>
    <w:rsid w:val="07416C7B"/>
    <w:rsid w:val="08844749"/>
    <w:rsid w:val="10284732"/>
    <w:rsid w:val="10FD5A8C"/>
    <w:rsid w:val="15E51FF5"/>
    <w:rsid w:val="2705212C"/>
    <w:rsid w:val="2720002C"/>
    <w:rsid w:val="2E480898"/>
    <w:rsid w:val="2EE25357"/>
    <w:rsid w:val="35244047"/>
    <w:rsid w:val="380D2908"/>
    <w:rsid w:val="43BB1E94"/>
    <w:rsid w:val="43D61547"/>
    <w:rsid w:val="443A2A30"/>
    <w:rsid w:val="4FA51232"/>
    <w:rsid w:val="566E030C"/>
    <w:rsid w:val="57D30BAB"/>
    <w:rsid w:val="57F61A00"/>
    <w:rsid w:val="58663672"/>
    <w:rsid w:val="64386C1D"/>
    <w:rsid w:val="6DC13957"/>
    <w:rsid w:val="6EFA26C3"/>
    <w:rsid w:val="6FF561C1"/>
    <w:rsid w:val="79314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 w:type="paragraph" w:styleId="10">
    <w:name w:val="List Paragraph"/>
    <w:basedOn w:val="1"/>
    <w:qFormat/>
    <w:uiPriority w:val="34"/>
    <w:pPr>
      <w:ind w:firstLine="420" w:firstLineChars="200"/>
    </w:pPr>
  </w:style>
  <w:style w:type="character" w:customStyle="1" w:styleId="11">
    <w:name w:val="font21"/>
    <w:basedOn w:val="5"/>
    <w:qFormat/>
    <w:uiPriority w:val="0"/>
    <w:rPr>
      <w:rFonts w:hint="eastAsia" w:ascii="楷体" w:hAnsi="楷体" w:eastAsia="楷体" w:cs="楷体"/>
      <w:color w:val="000000"/>
      <w:sz w:val="22"/>
      <w:szCs w:val="22"/>
      <w:u w:val="none"/>
    </w:rPr>
  </w:style>
  <w:style w:type="character" w:customStyle="1" w:styleId="12">
    <w:name w:val="font01"/>
    <w:basedOn w:val="5"/>
    <w:qFormat/>
    <w:uiPriority w:val="0"/>
    <w:rPr>
      <w:rFonts w:hint="eastAsia" w:ascii="楷体" w:hAnsi="楷体" w:eastAsia="楷体" w:cs="楷体"/>
      <w:color w:val="FF0000"/>
      <w:sz w:val="22"/>
      <w:szCs w:val="22"/>
      <w:u w:val="none"/>
    </w:rPr>
  </w:style>
  <w:style w:type="character" w:customStyle="1" w:styleId="13">
    <w:name w:val="font11"/>
    <w:basedOn w:val="5"/>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1561</Words>
  <Characters>8904</Characters>
  <Lines>74</Lines>
  <Paragraphs>20</Paragraphs>
  <ScaleCrop>false</ScaleCrop>
  <LinksUpToDate>false</LinksUpToDate>
  <CharactersWithSpaces>10445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2018-03-30T01:32:00Z</dcterms:created>
  <dc:creator>Administrator</dc:creator>
  <cp:lastModifiedBy>蔡淑琴</cp:lastModifiedBy>
  <cp:lastPrinted>2018-03-28T08:26:00Z</cp:lastPrinted>
  <dcterms:modified xsi:type="dcterms:W3CDTF">2018-03-30T07:30:55Z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